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7358" w14:textId="77777777" w:rsidR="006C7B17" w:rsidRPr="00AB642F" w:rsidRDefault="006C7B17" w:rsidP="00226845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642F">
        <w:rPr>
          <w:rFonts w:ascii="Times New Roman" w:hAnsi="Times New Roman" w:cs="Times New Roman"/>
          <w:sz w:val="28"/>
          <w:szCs w:val="28"/>
        </w:rPr>
        <w:t>ПРАВИЛА</w:t>
      </w:r>
    </w:p>
    <w:p w14:paraId="358AC12F" w14:textId="30AB0E96" w:rsidR="006C7B17" w:rsidRPr="00AB642F" w:rsidRDefault="006C7B17" w:rsidP="00226845">
      <w:pPr>
        <w:pStyle w:val="a3"/>
        <w:spacing w:line="216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платежной системы ОАО «АСБ Беларусбанк»</w:t>
      </w:r>
    </w:p>
    <w:p w14:paraId="2721FA59" w14:textId="7FACF728" w:rsidR="006C7B17" w:rsidRDefault="006C7B17" w:rsidP="006C7B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92BCBB" w14:textId="77777777" w:rsidR="00C437A0" w:rsidRPr="00AB642F" w:rsidRDefault="00C437A0" w:rsidP="00C437A0">
      <w:pPr>
        <w:pStyle w:val="a3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73FBE" w14:textId="77777777" w:rsidR="00212EBD" w:rsidRPr="008F2CB0" w:rsidRDefault="00212EBD" w:rsidP="00212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1.1</w:t>
      </w:r>
      <w:r w:rsidRPr="008F2CB0">
        <w:rPr>
          <w:rFonts w:ascii="Times New Roman" w:hAnsi="Times New Roman" w:cs="Times New Roman"/>
          <w:sz w:val="28"/>
          <w:szCs w:val="28"/>
        </w:rPr>
        <w:t>. </w:t>
      </w:r>
      <w:r w:rsidRPr="008F2CB0">
        <w:rPr>
          <w:rFonts w:ascii="Times New Roman" w:hAnsi="Times New Roman"/>
          <w:sz w:val="28"/>
          <w:szCs w:val="28"/>
        </w:rPr>
        <w:t xml:space="preserve"> Настоящие Правила платежной системы ОАО «АСБ Беларусбанк» (далее – Правила) разработаны в соответствии с [</w:t>
      </w:r>
      <w:hyperlink w:anchor="прил1_п2" w:history="1">
        <w:r w:rsidRPr="008F2CB0">
          <w:rPr>
            <w:rStyle w:val="ab"/>
            <w:rFonts w:ascii="Times New Roman" w:hAnsi="Times New Roman"/>
            <w:sz w:val="28"/>
            <w:szCs w:val="28"/>
            <w:u w:val="none"/>
          </w:rPr>
          <w:t>2</w:t>
        </w:r>
      </w:hyperlink>
      <w:r w:rsidRPr="008F2CB0">
        <w:rPr>
          <w:rFonts w:ascii="Times New Roman" w:hAnsi="Times New Roman"/>
          <w:sz w:val="28"/>
          <w:szCs w:val="28"/>
        </w:rPr>
        <w:t>].</w:t>
      </w:r>
    </w:p>
    <w:p w14:paraId="1EC51C04" w14:textId="77777777" w:rsidR="00212EBD" w:rsidRPr="008F2CB0" w:rsidRDefault="00212EBD" w:rsidP="00212E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F2CB0">
        <w:rPr>
          <w:rFonts w:ascii="Times New Roman" w:hAnsi="Times New Roman"/>
          <w:sz w:val="28"/>
          <w:szCs w:val="28"/>
        </w:rPr>
        <w:t>1.2. Термины и их определения, используемые в настоящих Правилах, имеют значения, определенные [</w:t>
      </w:r>
      <w:hyperlink w:anchor="прил1_п2" w:history="1">
        <w:r w:rsidRPr="008F2CB0">
          <w:rPr>
            <w:rStyle w:val="ab"/>
            <w:rFonts w:ascii="Times New Roman" w:hAnsi="Times New Roman"/>
            <w:sz w:val="28"/>
            <w:szCs w:val="28"/>
            <w:u w:val="none"/>
          </w:rPr>
          <w:t>2</w:t>
        </w:r>
      </w:hyperlink>
      <w:r w:rsidRPr="008F2CB0">
        <w:rPr>
          <w:rFonts w:ascii="Times New Roman" w:hAnsi="Times New Roman"/>
          <w:sz w:val="28"/>
          <w:szCs w:val="28"/>
        </w:rPr>
        <w:t>].</w:t>
      </w:r>
    </w:p>
    <w:p w14:paraId="0AD07D94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CB0">
        <w:rPr>
          <w:rFonts w:ascii="Times New Roman" w:hAnsi="Times New Roman"/>
          <w:sz w:val="28"/>
          <w:szCs w:val="28"/>
        </w:rPr>
        <w:t>Термин «финансовая операция» используется в значении, определенном [</w:t>
      </w:r>
      <w:hyperlink w:anchor="прил1_п2_1" w:history="1">
        <w:r w:rsidRPr="008F2CB0">
          <w:rPr>
            <w:rStyle w:val="ab"/>
            <w:rFonts w:ascii="Times New Roman" w:hAnsi="Times New Roman"/>
            <w:sz w:val="28"/>
            <w:szCs w:val="28"/>
            <w:u w:val="none"/>
          </w:rPr>
          <w:t>2-1</w:t>
        </w:r>
      </w:hyperlink>
      <w:r w:rsidRPr="008F2CB0">
        <w:rPr>
          <w:rFonts w:ascii="Times New Roman" w:hAnsi="Times New Roman"/>
          <w:sz w:val="28"/>
          <w:szCs w:val="28"/>
        </w:rPr>
        <w:t>]</w:t>
      </w:r>
      <w:r w:rsidRPr="008F2CB0">
        <w:rPr>
          <w:rFonts w:ascii="Times New Roman" w:hAnsi="Times New Roman" w:cs="Times New Roman"/>
          <w:sz w:val="28"/>
          <w:szCs w:val="28"/>
        </w:rPr>
        <w:t>.</w:t>
      </w:r>
    </w:p>
    <w:p w14:paraId="7B6E4C1C" w14:textId="77777777" w:rsidR="00212EBD" w:rsidRPr="00AB642F" w:rsidRDefault="00212EBD" w:rsidP="00212EBD">
      <w:pPr>
        <w:pStyle w:val="14"/>
        <w:rPr>
          <w:szCs w:val="28"/>
        </w:rPr>
      </w:pPr>
      <w:r w:rsidRPr="00AB642F">
        <w:rPr>
          <w:szCs w:val="28"/>
        </w:rPr>
        <w:t>1.3. Вопросы организации и функционирования платежной системы ОАО «АСБ Беларусбанк» (далее</w:t>
      </w:r>
      <w:r>
        <w:rPr>
          <w:szCs w:val="28"/>
        </w:rPr>
        <w:t> </w:t>
      </w:r>
      <w:r w:rsidRPr="00AB642F">
        <w:rPr>
          <w:szCs w:val="28"/>
        </w:rPr>
        <w:t>–</w:t>
      </w:r>
      <w:r>
        <w:rPr>
          <w:szCs w:val="28"/>
        </w:rPr>
        <w:t> </w:t>
      </w:r>
      <w:r w:rsidRPr="00AB642F">
        <w:rPr>
          <w:szCs w:val="28"/>
        </w:rPr>
        <w:t xml:space="preserve">Платежная система) регламентируются нормативными правовыми актами и локальными правовыми актами ОАО «АСБ Беларусбанк» (далее – Банк), включенными в Перечень нормативных правовых актов и локальных правовых актов Банка (приложение </w:t>
      </w:r>
      <w:hyperlink w:anchor="_Приложение_1" w:history="1">
        <w:r w:rsidRPr="000F1367">
          <w:rPr>
            <w:rStyle w:val="ab"/>
            <w:szCs w:val="28"/>
            <w:u w:val="none"/>
          </w:rPr>
          <w:t>1</w:t>
        </w:r>
      </w:hyperlink>
      <w:r w:rsidRPr="00AB642F">
        <w:rPr>
          <w:szCs w:val="28"/>
        </w:rPr>
        <w:t xml:space="preserve"> к настоящим Правилам) (далее </w:t>
      </w:r>
      <w:r>
        <w:rPr>
          <w:szCs w:val="28"/>
        </w:rPr>
        <w:t>–</w:t>
      </w:r>
      <w:r w:rsidRPr="00AB642F">
        <w:rPr>
          <w:szCs w:val="28"/>
        </w:rPr>
        <w:t xml:space="preserve"> Перечень).</w:t>
      </w:r>
    </w:p>
    <w:p w14:paraId="516ADAF6" w14:textId="77777777" w:rsidR="00212EBD" w:rsidRPr="00AB642F" w:rsidRDefault="00212EBD" w:rsidP="00212EBD">
      <w:pPr>
        <w:pStyle w:val="14"/>
        <w:rPr>
          <w:szCs w:val="28"/>
        </w:rPr>
      </w:pPr>
      <w:r w:rsidRPr="00AB642F">
        <w:rPr>
          <w:szCs w:val="28"/>
        </w:rPr>
        <w:t xml:space="preserve">1.4. Настоящие Правила размещаются в глобальной компьютерной сети Интернет на официальном сайте Банка по адресу: </w:t>
      </w:r>
      <w:r w:rsidRPr="00AB642F">
        <w:rPr>
          <w:szCs w:val="28"/>
          <w:lang w:val="en-US"/>
        </w:rPr>
        <w:t>www</w:t>
      </w:r>
      <w:r w:rsidRPr="00AB642F">
        <w:rPr>
          <w:szCs w:val="28"/>
        </w:rPr>
        <w:t>.belarusbank.by.</w:t>
      </w:r>
    </w:p>
    <w:p w14:paraId="0B5EF4E6" w14:textId="77777777" w:rsidR="00212EBD" w:rsidRPr="00AB642F" w:rsidRDefault="00212EBD" w:rsidP="00212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E5D3C0" w14:textId="77777777" w:rsidR="00212EBD" w:rsidRPr="00AB642F" w:rsidRDefault="00212EBD" w:rsidP="00212EBD">
      <w:pPr>
        <w:pStyle w:val="1"/>
        <w:spacing w:before="0" w:beforeAutospacing="0"/>
        <w:jc w:val="center"/>
        <w:rPr>
          <w:sz w:val="28"/>
          <w:szCs w:val="28"/>
        </w:rPr>
      </w:pPr>
      <w:bookmarkStart w:id="1" w:name="_Toc131759653"/>
      <w:r w:rsidRPr="006B192E">
        <w:rPr>
          <w:b w:val="0"/>
          <w:sz w:val="28"/>
          <w:szCs w:val="28"/>
        </w:rPr>
        <w:t>ГЛАВА </w:t>
      </w:r>
      <w:r>
        <w:rPr>
          <w:b w:val="0"/>
          <w:sz w:val="28"/>
          <w:szCs w:val="28"/>
        </w:rPr>
        <w:t>2</w:t>
      </w:r>
      <w:r w:rsidRPr="006B192E">
        <w:rPr>
          <w:b w:val="0"/>
          <w:sz w:val="28"/>
          <w:szCs w:val="28"/>
        </w:rPr>
        <w:t xml:space="preserve"> </w:t>
      </w:r>
      <w:r w:rsidRPr="006B192E">
        <w:rPr>
          <w:b w:val="0"/>
          <w:sz w:val="28"/>
          <w:szCs w:val="28"/>
        </w:rPr>
        <w:br/>
        <w:t>ОБЩИЕ СВЕДЕНИЯ О ПЛАТЕЖНОЙ СИСТЕМЕ БАНКА</w:t>
      </w:r>
      <w:bookmarkEnd w:id="1"/>
    </w:p>
    <w:p w14:paraId="0FF94F6F" w14:textId="77777777" w:rsidR="00212EBD" w:rsidRPr="002433DD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2.1. Платежная система представляет собой совокупность участников Платежной системы, оператора Платежной системы, правил и процедур Платежной системы, платежных инструментов и средств платежа, программно-технических и телекоммуникационных средств, включающих автоматизированные банковские системы, обеспечивающие формирование электронных платежных документов Банка, по выполнению денежных требований и обязательств между клиентами Банка, имеющими счета в одном Банке, между Банком и клиентом, системы расчетов по розничным платежам и системы переводов денежных средств без открытия счета, оператором и (или) участником которых является Банк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3DD">
        <w:rPr>
          <w:rFonts w:ascii="Times New Roman" w:hAnsi="Times New Roman" w:cs="Times New Roman"/>
          <w:sz w:val="28"/>
          <w:szCs w:val="28"/>
        </w:rPr>
        <w:t xml:space="preserve"> другие системы, посредством которых осуществляется прием платежей клиентов и участников платежной системы Банка и расчет по ним.</w:t>
      </w:r>
    </w:p>
    <w:p w14:paraId="6A691144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2.2. Платежная система включает в себя оператора платежной системы и участников платежной системы.</w:t>
      </w:r>
    </w:p>
    <w:p w14:paraId="5BC84388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Оператором и расчетным центром платежной системы является Банк:</w:t>
      </w:r>
    </w:p>
    <w:p w14:paraId="2CD38C7A" w14:textId="77777777" w:rsidR="00212EBD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адрес местонахождения: 220089, г. Минск, пр-т Дзержинского, 18, S.W.I.F.T. AKBBBY2X, УНП 100325912, Телекс 252408 PION BY, Факс +375 (17) 337 57 50, Телефон +375 (17) 218-84-31, E-mail info@belarusbank.by, сайт в сети Интернет belarusbank.by.</w:t>
      </w:r>
    </w:p>
    <w:p w14:paraId="4AC0F684" w14:textId="77777777" w:rsidR="00212EBD" w:rsidRPr="00DB2340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2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Банку присвоен регистрационный номер поставщика платежных услуг в реестре поставщиков платежных услуг и видов оказываемых ими платежных услуг 112.100325912.1-2-3-4-5.1110-0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-0-0-9.</w:t>
      </w:r>
    </w:p>
    <w:p w14:paraId="67BE09C1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lastRenderedPageBreak/>
        <w:t>Участниками платежной системы являются юридические лица, индивидуальные предприниматели и физические лица, присоединившиеся к платежной системе путем заключения договора(ов) с оператором.</w:t>
      </w:r>
    </w:p>
    <w:p w14:paraId="00892F39" w14:textId="77777777" w:rsidR="00212EBD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Условия участия, приостановления и прекращения участия в платежной системе определяются условиями заключаемых договоров и законодательством.</w:t>
      </w:r>
    </w:p>
    <w:p w14:paraId="29E545B8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B642F">
        <w:rPr>
          <w:rFonts w:ascii="Times New Roman" w:hAnsi="Times New Roman"/>
          <w:sz w:val="28"/>
          <w:szCs w:val="28"/>
        </w:rPr>
        <w:t>2.3. Полномочия и функциональные обязанности участников Платежной системы определены нормативными правовыми актами и локальными правовыми актами Банка, указанными в Перечне.</w:t>
      </w:r>
    </w:p>
    <w:p w14:paraId="5BB07D88" w14:textId="77777777" w:rsidR="00212EBD" w:rsidRDefault="00212EBD" w:rsidP="00212EBD">
      <w:pPr>
        <w:pStyle w:val="a3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AB642F">
        <w:rPr>
          <w:rFonts w:ascii="Times New Roman" w:hAnsi="Times New Roman"/>
          <w:sz w:val="28"/>
          <w:szCs w:val="28"/>
        </w:rPr>
        <w:t>2.4. Взаимодействие Банка и поставщиков платежных услуг, не являющихся участниками платежной системы Банка, а также порядок предоставления участниками платежной системы и поставщиками платежных услуг информации о своей деятельности Банку определяются заключенными договорами, законодательством и локальными правовыми актами Банка.</w:t>
      </w:r>
    </w:p>
    <w:p w14:paraId="1CCCC002" w14:textId="77777777" w:rsidR="00212EBD" w:rsidRDefault="00212EBD" w:rsidP="00212EBD">
      <w:pPr>
        <w:pStyle w:val="a3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EED69A" w14:textId="77777777" w:rsidR="00212EBD" w:rsidRPr="00AB642F" w:rsidRDefault="00212EBD" w:rsidP="00212EBD">
      <w:pPr>
        <w:pStyle w:val="1"/>
        <w:spacing w:before="0" w:beforeAutospacing="0"/>
        <w:jc w:val="center"/>
        <w:rPr>
          <w:sz w:val="28"/>
          <w:szCs w:val="28"/>
        </w:rPr>
      </w:pPr>
      <w:bookmarkStart w:id="2" w:name="_Toc131759654"/>
      <w:r w:rsidRPr="006B192E">
        <w:rPr>
          <w:b w:val="0"/>
          <w:sz w:val="28"/>
          <w:szCs w:val="28"/>
        </w:rPr>
        <w:t>ГЛАВА </w:t>
      </w:r>
      <w:r>
        <w:rPr>
          <w:b w:val="0"/>
          <w:sz w:val="28"/>
          <w:szCs w:val="28"/>
        </w:rPr>
        <w:t>3</w:t>
      </w:r>
      <w:r w:rsidRPr="006B192E">
        <w:rPr>
          <w:b w:val="0"/>
          <w:sz w:val="28"/>
          <w:szCs w:val="28"/>
        </w:rPr>
        <w:t xml:space="preserve"> </w:t>
      </w:r>
      <w:r w:rsidRPr="006B192E">
        <w:rPr>
          <w:b w:val="0"/>
          <w:sz w:val="28"/>
          <w:szCs w:val="28"/>
        </w:rPr>
        <w:br/>
        <w:t>ПЛАТЕЖНЫЕ УСЛУГИ, ОКАЗЫВАЕМЫЕ ПОСРЕДСТВОМ ПЛАТЕЖНОЙ СИСТЕМЫ БАНКА, ПЕРЕЧЕНЬ ПЛАТЕЖНЫХ СИСТЕМ, С КОТОРЫМИ БАНК ОСУЩЕСТВЛЯЕТ ВЗАИМОДЕЙСТВИЕ</w:t>
      </w:r>
      <w:bookmarkEnd w:id="2"/>
    </w:p>
    <w:p w14:paraId="66ABD5E4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</w:rPr>
        <w:t>3.1.</w:t>
      </w:r>
      <w:r w:rsidRPr="00AB642F">
        <w:rPr>
          <w:rFonts w:ascii="Times New Roman" w:hAnsi="Times New Roman" w:cs="Times New Roman"/>
          <w:sz w:val="28"/>
          <w:szCs w:val="28"/>
          <w:lang w:eastAsia="ru-RU"/>
        </w:rPr>
        <w:t> Банк является поставщиком следующих видов платежных услуг:</w:t>
      </w:r>
    </w:p>
    <w:p w14:paraId="69398715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  <w:lang w:eastAsia="ru-RU"/>
        </w:rPr>
        <w:t>услуги оператора Платежной системы по организации Платежной системы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B642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B642F">
        <w:rPr>
          <w:rFonts w:ascii="Times New Roman" w:hAnsi="Times New Roman" w:cs="Times New Roman"/>
          <w:sz w:val="28"/>
          <w:szCs w:val="28"/>
          <w:lang w:eastAsia="ru-RU"/>
        </w:rPr>
        <w:t>организация Платежной системы в соответствии с з</w:t>
      </w:r>
      <w:r>
        <w:rPr>
          <w:rFonts w:ascii="Times New Roman" w:hAnsi="Times New Roman" w:cs="Times New Roman"/>
          <w:sz w:val="28"/>
          <w:szCs w:val="28"/>
          <w:lang w:eastAsia="ru-RU"/>
        </w:rPr>
        <w:t>аконодательством, установление п</w:t>
      </w:r>
      <w:r w:rsidRPr="00AB642F">
        <w:rPr>
          <w:rFonts w:ascii="Times New Roman" w:hAnsi="Times New Roman" w:cs="Times New Roman"/>
          <w:sz w:val="28"/>
          <w:szCs w:val="28"/>
          <w:lang w:eastAsia="ru-RU"/>
        </w:rPr>
        <w:t>равил и осуществление расчетных услуг в соответствии с ними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642F">
        <w:t xml:space="preserve"> </w:t>
      </w:r>
      <w:r w:rsidRPr="00AB642F">
        <w:rPr>
          <w:rFonts w:ascii="Times New Roman" w:hAnsi="Times New Roman" w:cs="Times New Roman"/>
          <w:sz w:val="28"/>
          <w:szCs w:val="28"/>
          <w:lang w:eastAsia="ru-RU"/>
        </w:rPr>
        <w:t>принятие мер, направленных на обеспечение их соблюдения участниками Платежной системы;</w:t>
      </w:r>
    </w:p>
    <w:p w14:paraId="5F00291D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  <w:lang w:eastAsia="ru-RU"/>
        </w:rPr>
        <w:t>расчетные услуги – открытие (закрытие) счетов, списание и (или) зачисление денежных средств по счетам, направление подтверждений, касающихся исполнения платежных инструкций, иные расчетные операции, связанные с обслуживанием счетов и отражением по счетам информации о движении денежных средств;</w:t>
      </w:r>
    </w:p>
    <w:p w14:paraId="24361A60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  <w:lang w:eastAsia="ru-RU"/>
        </w:rPr>
        <w:t>инициирование платежа – обработка в соответствии с законодательством платежей, инициированных пользователями в электронной или иной форме, и передача посредством платежного указания (платежной инструкции) другим поставщикам платежных услуг информации, необходимой для осуществления платежа и (или) приема денежных средств по платежам;</w:t>
      </w:r>
    </w:p>
    <w:p w14:paraId="4A9E8A60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  <w:lang w:eastAsia="ru-RU"/>
        </w:rPr>
        <w:t>эквайринг платежных операций – прием и передача наличных денежных средств, перечисление денежных средств в безналичном порядке в целях осуществления платежей в пользу получателей платежей без открытия счетов пользователям, прием и передача на исполнение платежных указаний (платежных инструкций) посредством платежных инструментов в целях осуществления платежей в пользу получателей платежа без открытия счетов пользователям;</w:t>
      </w:r>
    </w:p>
    <w:p w14:paraId="3F2F52E0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color w:val="000000"/>
          <w:sz w:val="28"/>
          <w:szCs w:val="28"/>
        </w:rPr>
        <w:t>эмиссия (создание) или распространение платежных инструментов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B642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B642F">
        <w:rPr>
          <w:rFonts w:ascii="Times New Roman" w:hAnsi="Times New Roman" w:cs="Times New Roman"/>
          <w:color w:val="000000"/>
          <w:sz w:val="28"/>
          <w:szCs w:val="28"/>
        </w:rPr>
        <w:t xml:space="preserve">эмиссия банковских платежных карточек, эмиссия (создание) </w:t>
      </w:r>
      <w:r w:rsidRPr="00AB64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платежного программного приложения (системы дистанционного банковского обслуживания физических лиц, системы дистанционного банковского обслуживания юридических лиц и индивидуальных предпринимателей)</w:t>
      </w:r>
      <w:r w:rsidRPr="00AB642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8B3897" w14:textId="77777777" w:rsidR="00212EBD" w:rsidRPr="00AB642F" w:rsidRDefault="00212EBD" w:rsidP="00212E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  <w:lang w:eastAsia="ru-RU"/>
        </w:rPr>
        <w:t>информационные платежные услуги – услуги по предоставлению Банком информации, необходимой для осуществления платежей, сбору, обработке, хранению, предоставлению информации по платежам, о состоянии счетов, платежных обязательствах и иной информации, связанной с платежами, платежными операциями и (или) счетами.</w:t>
      </w:r>
    </w:p>
    <w:p w14:paraId="1906AAD6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</w:rPr>
        <w:t>3.2.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функционирования Платежная система осуществляет взаимодействие с:</w:t>
      </w:r>
    </w:p>
    <w:p w14:paraId="2FD48D23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информационной системой единого расчетного и информационного пространства – АИС «Расчет»;</w:t>
      </w:r>
    </w:p>
    <w:p w14:paraId="083756CD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информационной системой исполнения денежных обязательств (АИС ИДО);</w:t>
      </w:r>
    </w:p>
    <w:p w14:paraId="4E09BD34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платежными системами БЕЛКАРТ, </w:t>
      </w:r>
      <w:r w:rsidRPr="00AB64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Visa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4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Mastercard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4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UnionPay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C5FB6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расчетно-клиринговой системой по ценным бумагам;</w:t>
      </w:r>
    </w:p>
    <w:p w14:paraId="7DE0B190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</w:t>
      </w:r>
      <w:r w:rsidRPr="00AB64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BISS (Belarus Interbank Settlement System);</w:t>
      </w:r>
    </w:p>
    <w:p w14:paraId="3008E975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мгновенных платежей;</w:t>
      </w:r>
    </w:p>
    <w:p w14:paraId="60F108FD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передачи финансовых сообщений Центрального банка Российской Федерации (СПФС);</w:t>
      </w:r>
    </w:p>
    <w:p w14:paraId="19F2C9CC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передачи финансовой информации ОАО «БМРЦ» (СПФИ);</w:t>
      </w:r>
    </w:p>
    <w:p w14:paraId="12346291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процессинговым центром – ОАО «Банковский процессинговый центр»;</w:t>
      </w:r>
    </w:p>
    <w:p w14:paraId="7EB604C7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</w:rPr>
        <w:t>S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WIFT;</w:t>
      </w:r>
    </w:p>
    <w:p w14:paraId="27E237A9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агрегаторами платежей (Интернет-провайдеры, QR-провайдеры и др.).</w:t>
      </w:r>
    </w:p>
    <w:p w14:paraId="2C7E217E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с указанными платежными системами осуществляется в соответствии с требованиями законодательства, правил указанных платежных систем и условиями заключенных лицензионных соглашений.</w:t>
      </w:r>
    </w:p>
    <w:p w14:paraId="7DD7A31B" w14:textId="77777777" w:rsidR="00212EBD" w:rsidRDefault="00212EBD" w:rsidP="00212EBD">
      <w:pPr>
        <w:pStyle w:val="14"/>
        <w:ind w:firstLine="0"/>
        <w:rPr>
          <w:szCs w:val="28"/>
        </w:rPr>
      </w:pPr>
    </w:p>
    <w:p w14:paraId="549935D3" w14:textId="77777777" w:rsidR="00212EBD" w:rsidRPr="00495098" w:rsidRDefault="00212EBD" w:rsidP="00212EBD">
      <w:pPr>
        <w:pStyle w:val="1"/>
        <w:pageBreakBefore/>
        <w:spacing w:before="0" w:beforeAutospacing="0"/>
        <w:jc w:val="center"/>
        <w:rPr>
          <w:b w:val="0"/>
          <w:sz w:val="28"/>
          <w:szCs w:val="28"/>
        </w:rPr>
      </w:pPr>
      <w:bookmarkStart w:id="3" w:name="_Toc131759655"/>
      <w:r w:rsidRPr="006B192E">
        <w:rPr>
          <w:b w:val="0"/>
          <w:sz w:val="28"/>
          <w:szCs w:val="28"/>
        </w:rPr>
        <w:lastRenderedPageBreak/>
        <w:t>ГЛАВА </w:t>
      </w:r>
      <w:r>
        <w:rPr>
          <w:b w:val="0"/>
          <w:sz w:val="28"/>
          <w:szCs w:val="28"/>
        </w:rPr>
        <w:t>4</w:t>
      </w:r>
      <w:r w:rsidRPr="006B192E">
        <w:rPr>
          <w:b w:val="0"/>
          <w:sz w:val="28"/>
          <w:szCs w:val="28"/>
        </w:rPr>
        <w:t xml:space="preserve"> </w:t>
      </w:r>
      <w:r w:rsidRPr="006B192E">
        <w:rPr>
          <w:b w:val="0"/>
          <w:sz w:val="28"/>
          <w:szCs w:val="28"/>
        </w:rPr>
        <w:br/>
      </w:r>
      <w:r w:rsidRPr="00BD3BD9">
        <w:rPr>
          <w:b w:val="0"/>
          <w:sz w:val="28"/>
          <w:szCs w:val="28"/>
        </w:rPr>
        <w:t>СИСТЕМА УПРАВЛЕНИЯ РИСКАМИ В ПЛАТЕЖНОЙ СИСТЕМЕ</w:t>
      </w:r>
      <w:bookmarkEnd w:id="3"/>
    </w:p>
    <w:p w14:paraId="14B2B29A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4.1. Организационная модель управления рисками в Платежной системе определена локальным правовым актом, указанн</w:t>
      </w:r>
      <w:r>
        <w:rPr>
          <w:szCs w:val="28"/>
        </w:rPr>
        <w:t>ы</w:t>
      </w:r>
      <w:r w:rsidRPr="00AB642F">
        <w:rPr>
          <w:szCs w:val="28"/>
        </w:rPr>
        <w:t>м в Перечне.</w:t>
      </w:r>
    </w:p>
    <w:p w14:paraId="267A7458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4.2.</w:t>
      </w:r>
      <w:r>
        <w:rPr>
          <w:szCs w:val="28"/>
        </w:rPr>
        <w:t> </w:t>
      </w:r>
      <w:r w:rsidRPr="00AB642F">
        <w:rPr>
          <w:szCs w:val="28"/>
        </w:rPr>
        <w:t>Стратегической целью управления рисками в Платежной системе является обеспечение:</w:t>
      </w:r>
    </w:p>
    <w:p w14:paraId="42CE28DD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ее эффективного, надежного и безопасного функционирования;</w:t>
      </w:r>
    </w:p>
    <w:p w14:paraId="7A027867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непрерывности деятельности участников Платежной системы и ее объектов при проведении платежей;</w:t>
      </w:r>
    </w:p>
    <w:p w14:paraId="4BD20A9E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поддержания рисков в Платежной системе на приемлемом уровне.</w:t>
      </w:r>
    </w:p>
    <w:p w14:paraId="53EE2B56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4.3. Банк организует систему управления рисками, разрабатывая методики управления рисками, методы и инструменты снижения (ограничения) рисков, механизмы восстановления функционирования Платежной системы, комплекс организационных и технических мероприятий в целях снижения вероятности возникновения неблагоприятных факторов, минимизации собственных потерь и потерь участников Платежной системы в случае реализации рисков.</w:t>
      </w:r>
    </w:p>
    <w:p w14:paraId="73015735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 xml:space="preserve">4.4. Участники </w:t>
      </w:r>
      <w:r>
        <w:rPr>
          <w:szCs w:val="28"/>
        </w:rPr>
        <w:t>П</w:t>
      </w:r>
      <w:r w:rsidRPr="00AB642F">
        <w:rPr>
          <w:szCs w:val="28"/>
        </w:rPr>
        <w:t xml:space="preserve">латежной системы </w:t>
      </w:r>
      <w:r>
        <w:rPr>
          <w:szCs w:val="28"/>
        </w:rPr>
        <w:t>и поставщики</w:t>
      </w:r>
      <w:r w:rsidRPr="00AB642F">
        <w:rPr>
          <w:szCs w:val="28"/>
        </w:rPr>
        <w:t xml:space="preserve"> платежных услуг, не являющи</w:t>
      </w:r>
      <w:r>
        <w:rPr>
          <w:szCs w:val="28"/>
        </w:rPr>
        <w:t>еся участниками П</w:t>
      </w:r>
      <w:r w:rsidRPr="00AB642F">
        <w:rPr>
          <w:szCs w:val="28"/>
        </w:rPr>
        <w:t>латежной системы</w:t>
      </w:r>
      <w:r>
        <w:rPr>
          <w:szCs w:val="28"/>
        </w:rPr>
        <w:t>,</w:t>
      </w:r>
      <w:r w:rsidRPr="00AB642F">
        <w:rPr>
          <w:szCs w:val="28"/>
        </w:rPr>
        <w:t xml:space="preserve"> самостоятельно осуществляют управление рисками, присущими их виду деятельности.</w:t>
      </w:r>
    </w:p>
    <w:p w14:paraId="157B8BB6" w14:textId="77777777" w:rsidR="00212EBD" w:rsidRPr="00AB642F" w:rsidRDefault="00212EBD" w:rsidP="00212EBD">
      <w:pPr>
        <w:pStyle w:val="14"/>
        <w:ind w:firstLine="0"/>
        <w:rPr>
          <w:szCs w:val="28"/>
        </w:rPr>
      </w:pPr>
    </w:p>
    <w:p w14:paraId="3FAB778B" w14:textId="77777777" w:rsidR="00212EBD" w:rsidRPr="00495098" w:rsidRDefault="00212EBD" w:rsidP="00212EBD">
      <w:pPr>
        <w:pStyle w:val="1"/>
        <w:spacing w:before="0" w:beforeAutospacing="0"/>
        <w:jc w:val="center"/>
        <w:rPr>
          <w:b w:val="0"/>
          <w:sz w:val="28"/>
          <w:szCs w:val="28"/>
        </w:rPr>
      </w:pPr>
      <w:bookmarkStart w:id="4" w:name="_Toc131759656"/>
      <w:r w:rsidRPr="006B192E">
        <w:rPr>
          <w:b w:val="0"/>
          <w:sz w:val="28"/>
          <w:szCs w:val="28"/>
        </w:rPr>
        <w:t>ГЛАВА </w:t>
      </w:r>
      <w:r>
        <w:rPr>
          <w:b w:val="0"/>
          <w:sz w:val="28"/>
          <w:szCs w:val="28"/>
        </w:rPr>
        <w:t>5</w:t>
      </w:r>
      <w:r w:rsidRPr="006B192E">
        <w:rPr>
          <w:b w:val="0"/>
          <w:sz w:val="28"/>
          <w:szCs w:val="28"/>
        </w:rPr>
        <w:t xml:space="preserve"> </w:t>
      </w:r>
      <w:r w:rsidRPr="006B192E">
        <w:rPr>
          <w:b w:val="0"/>
          <w:sz w:val="28"/>
          <w:szCs w:val="28"/>
        </w:rPr>
        <w:br/>
      </w:r>
      <w:r w:rsidRPr="00BD3BD9">
        <w:rPr>
          <w:b w:val="0"/>
          <w:sz w:val="28"/>
          <w:szCs w:val="28"/>
        </w:rPr>
        <w:t>ПОРЯДОК СОБЛЮДЕНИЯ МЕР ПО ЗАЩИТЕ ИНФОРМАЦИИ</w:t>
      </w:r>
      <w:bookmarkEnd w:id="4"/>
    </w:p>
    <w:p w14:paraId="3015F2B4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5.1. Порядок соблюдения мер по защите информации, в том числе пор</w:t>
      </w:r>
      <w:r>
        <w:rPr>
          <w:szCs w:val="28"/>
        </w:rPr>
        <w:t>ядок аутентификации участников П</w:t>
      </w:r>
      <w:r w:rsidRPr="00AB642F">
        <w:rPr>
          <w:szCs w:val="28"/>
        </w:rPr>
        <w:t>латежной системы как пользователей платежных услуг Банка, а также пользовате</w:t>
      </w:r>
      <w:r>
        <w:rPr>
          <w:szCs w:val="28"/>
        </w:rPr>
        <w:t>лей платежных услуг участников П</w:t>
      </w:r>
      <w:r w:rsidRPr="00AB642F">
        <w:rPr>
          <w:szCs w:val="28"/>
        </w:rPr>
        <w:t>латежной системы, устанавливается в соответствии с нормативными правовыми актами Национального банка, указанными в Перечне.</w:t>
      </w:r>
    </w:p>
    <w:p w14:paraId="550CA9BF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5.2. Банк и каждый из участников Платежной системы при осуществлении переводов денежных средств в рамках Платежной системы обеспечивают выполнение требований законодательства в области информации, информатизации и защиты информации, соответствующих нормативных правовых актов Национального банка, Оперативно-аналитического центра при Президенте Республики Беларусь.</w:t>
      </w:r>
    </w:p>
    <w:p w14:paraId="61D8F3BA" w14:textId="77777777" w:rsidR="00212EBD" w:rsidRPr="00AB642F" w:rsidRDefault="00212EBD" w:rsidP="00212EBD">
      <w:pPr>
        <w:pStyle w:val="14"/>
        <w:ind w:firstLine="708"/>
        <w:rPr>
          <w:szCs w:val="28"/>
        </w:rPr>
      </w:pPr>
      <w:r w:rsidRPr="00AB642F">
        <w:rPr>
          <w:szCs w:val="28"/>
        </w:rPr>
        <w:t>5.3. Порядок применения организационных мер защиты информации и использования технических мер защиты информации определяется локальными правовыми актами в соответствии Перечнем.</w:t>
      </w:r>
    </w:p>
    <w:p w14:paraId="5B0B23A0" w14:textId="77777777" w:rsidR="00212EBD" w:rsidRPr="00AB642F" w:rsidRDefault="00212EBD" w:rsidP="00212EBD">
      <w:pPr>
        <w:pStyle w:val="14"/>
      </w:pPr>
    </w:p>
    <w:p w14:paraId="55629108" w14:textId="77777777" w:rsidR="00212EBD" w:rsidRPr="00495098" w:rsidRDefault="00212EBD" w:rsidP="00212EBD">
      <w:pPr>
        <w:pStyle w:val="1"/>
        <w:pageBreakBefore/>
        <w:spacing w:before="0" w:beforeAutospacing="0"/>
        <w:jc w:val="center"/>
        <w:rPr>
          <w:b w:val="0"/>
          <w:sz w:val="28"/>
          <w:szCs w:val="28"/>
        </w:rPr>
      </w:pPr>
      <w:bookmarkStart w:id="5" w:name="_Toc131759657"/>
      <w:r w:rsidRPr="006B192E">
        <w:rPr>
          <w:b w:val="0"/>
          <w:sz w:val="28"/>
          <w:szCs w:val="28"/>
        </w:rPr>
        <w:lastRenderedPageBreak/>
        <w:t>ГЛАВА </w:t>
      </w:r>
      <w:r>
        <w:rPr>
          <w:b w:val="0"/>
          <w:sz w:val="28"/>
          <w:szCs w:val="28"/>
        </w:rPr>
        <w:t>6</w:t>
      </w:r>
      <w:r w:rsidRPr="006B192E">
        <w:rPr>
          <w:b w:val="0"/>
          <w:sz w:val="28"/>
          <w:szCs w:val="28"/>
        </w:rPr>
        <w:t xml:space="preserve"> </w:t>
      </w:r>
      <w:r w:rsidRPr="006B192E">
        <w:rPr>
          <w:b w:val="0"/>
          <w:sz w:val="28"/>
          <w:szCs w:val="28"/>
        </w:rPr>
        <w:br/>
      </w:r>
      <w:r w:rsidRPr="00BD3BD9">
        <w:rPr>
          <w:b w:val="0"/>
          <w:sz w:val="28"/>
          <w:szCs w:val="28"/>
        </w:rPr>
        <w:t>ПРАВИЛА И ПРОЦЕДУРЫ ФУНКЦИОНИРОВАНИЯ ПЛАТЕЖНОЙ</w:t>
      </w:r>
      <w:r>
        <w:rPr>
          <w:b w:val="0"/>
          <w:sz w:val="28"/>
          <w:szCs w:val="28"/>
        </w:rPr>
        <w:t> </w:t>
      </w:r>
      <w:r w:rsidRPr="00BD3BD9">
        <w:rPr>
          <w:b w:val="0"/>
          <w:sz w:val="28"/>
          <w:szCs w:val="28"/>
        </w:rPr>
        <w:t>СИСТЕМЫ БАНКА</w:t>
      </w:r>
      <w:bookmarkEnd w:id="5"/>
    </w:p>
    <w:p w14:paraId="4162CCED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hAnsi="Times New Roman" w:cs="Times New Roman"/>
          <w:sz w:val="28"/>
          <w:szCs w:val="28"/>
        </w:rPr>
        <w:t>6.1. 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денежных средств в рамках Платежной системы осуществляется в порядке, предусмотренном нормативными правовыми актами и локальными правовыми актами в соответствии с Перечнем.</w:t>
      </w:r>
    </w:p>
    <w:p w14:paraId="065C84F4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Момент наступления безотзывности платежа, завершенности расчета, окончательности платежа, процедура отзыва платежного указания (платежной инструкции) определяются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установленными законодательством и Перечнем, а также условиями заключенных договоров.</w:t>
      </w:r>
    </w:p>
    <w:p w14:paraId="26654ADA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Гарант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завершения расчетов в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системе осуществляется в соответствии с требованиями законодательства. Урегулирование случаев неспос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обности исполнения участниками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 своих платежных обязательств осуществляется в порядке, предусмотренном условиями заключаемых договоров, законодательством и в соответствии с нормативными правовыми актами и локальными правовыми актами, указанными в Перечне.</w:t>
      </w:r>
    </w:p>
    <w:p w14:paraId="16F5483E" w14:textId="77777777" w:rsidR="00212EBD" w:rsidRPr="00AB642F" w:rsidRDefault="00212EBD" w:rsidP="0021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 определен локальными правовыми актами, указанными в Перечне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установленных в Банке требований к документообороту.</w:t>
      </w:r>
    </w:p>
    <w:p w14:paraId="5AE12B18" w14:textId="77777777" w:rsidR="00212EBD" w:rsidRPr="00AB642F" w:rsidRDefault="00212EBD" w:rsidP="0021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Применяемые к обработке в Платежной системе форматы платежных сообщений и правила составления финансовых (платежных) сообщений, перечень применяемых в Платежной системе реквизитов сообщений, модели обмена финансовыми (платежными) сообщениями между участниками платежной системы Банка определены</w:t>
      </w:r>
      <w:r w:rsidRPr="00AB642F">
        <w:t xml:space="preserve"> </w:t>
      </w:r>
      <w:r w:rsidRPr="00AB642F">
        <w:rPr>
          <w:rFonts w:ascii="Times New Roman" w:hAnsi="Times New Roman" w:cs="Times New Roman"/>
          <w:sz w:val="28"/>
          <w:szCs w:val="28"/>
        </w:rPr>
        <w:t>требованиями, установленными законодательством и нормативными правовыми актами Национального банка.</w:t>
      </w:r>
    </w:p>
    <w:p w14:paraId="0B3F16E2" w14:textId="77777777" w:rsidR="00212EBD" w:rsidRPr="00AB642F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Порядок обеспечения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сперебойности функционирования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системы, включая порядок взаимо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 рамках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 в чрезвычайных ситуациях, в том числе порядок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Банка участниками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 о событиях, вызвавших операционные сбои, об их причинах и последствиях, регламентирован нормативными правовыми актами и локальными правовыми актами, указанными в Перечне.</w:t>
      </w:r>
    </w:p>
    <w:p w14:paraId="0E5D8371" w14:textId="77777777" w:rsidR="00212EBD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6.7. Порядок проведения мероприятий,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равленных на соблюдение правил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системы, а также мероприятий, проводимых в случае их нарушения, регламентирован нормативными правовыми актами и локальными правовыми актами, указанными в Перечне.</w:t>
      </w:r>
    </w:p>
    <w:p w14:paraId="34884764" w14:textId="77777777" w:rsidR="00212EBD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 За неисполнение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ненадлежащее исполнение правил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латежной системы участники Платежной системы, пользователи платежных услуг, оказываемых Платежной системой, несут ответственность в соответствии с заключенными договорами и законодательством.</w:t>
      </w:r>
    </w:p>
    <w:p w14:paraId="6B2789CA" w14:textId="77777777" w:rsidR="00212EBD" w:rsidRDefault="00212EBD" w:rsidP="00212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 Спорные вопросы, возникающие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деятельности в рамках П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латежной системы, разрешаются в соответствии с заключенными договорами </w:t>
      </w: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законодательством. Банк обеспечивает возможность досудебного рассмотрения споров с участниками Платежной системы.</w:t>
      </w:r>
    </w:p>
    <w:p w14:paraId="66DDE8A4" w14:textId="77777777" w:rsidR="00212EBD" w:rsidRDefault="00212EBD" w:rsidP="0021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eastAsia="Times New Roman" w:hAnsi="Times New Roman" w:cs="Times New Roman"/>
          <w:sz w:val="28"/>
          <w:szCs w:val="28"/>
          <w:lang w:eastAsia="ru-RU"/>
        </w:rPr>
        <w:t>6.10. </w:t>
      </w:r>
      <w:r w:rsidRPr="00AB642F">
        <w:rPr>
          <w:rFonts w:ascii="Times New Roman" w:hAnsi="Times New Roman" w:cs="Times New Roman"/>
          <w:sz w:val="28"/>
          <w:szCs w:val="28"/>
        </w:rPr>
        <w:t>Внутренний контроль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осуществляется в соответствии с законодательством и локальными правовыми актами, регламентирующими данное направление.</w:t>
      </w:r>
    </w:p>
    <w:p w14:paraId="6A32C8E5" w14:textId="77777777" w:rsidR="00212EBD" w:rsidRPr="006622D1" w:rsidRDefault="00212EBD" w:rsidP="0021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CB0">
        <w:rPr>
          <w:rFonts w:ascii="Times New Roman" w:hAnsi="Times New Roman" w:cs="Times New Roman"/>
          <w:color w:val="000000"/>
          <w:sz w:val="28"/>
          <w:szCs w:val="28"/>
        </w:rPr>
        <w:t>Банк вправе отказать клиенту в осуществлении финансовой операции либо приостановить финансовую операцию, если финансовая операция отвечает критериям выявления и признакам подозрительных финансовых операций, которые могут являться, согласно локальным правовым актам, основанием для отказа в ее осуществлении либо приостановлении. Функции по анализу финансовых операций с использованием банковских платежных карточек, отклонению (не осуществлению) финансовых операций могут выполняться процессинговым центром в соответствии с условиями заключенных с Банком соглашений (договоров) в рамках оказания услуг мониторинга финансовых операций.</w:t>
      </w:r>
    </w:p>
    <w:p w14:paraId="3951F9EB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D8876" w14:textId="77777777" w:rsidR="00212EBD" w:rsidRPr="00AB642F" w:rsidRDefault="00212EBD" w:rsidP="00212EBD">
      <w:pPr>
        <w:pStyle w:val="a3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8D368" w14:textId="77777777" w:rsidR="00212EBD" w:rsidRPr="003F42E9" w:rsidRDefault="00212EBD" w:rsidP="00212EBD">
      <w:pPr>
        <w:pStyle w:val="1"/>
        <w:pageBreakBefore/>
        <w:suppressAutoHyphens/>
        <w:spacing w:before="0" w:beforeAutospacing="0" w:after="0" w:afterAutospacing="0"/>
        <w:ind w:left="5670"/>
        <w:rPr>
          <w:b w:val="0"/>
          <w:bCs w:val="0"/>
          <w:sz w:val="28"/>
          <w:szCs w:val="28"/>
        </w:rPr>
      </w:pPr>
      <w:bookmarkStart w:id="6" w:name="_Приложение_1"/>
      <w:bookmarkStart w:id="7" w:name="_Toc355370571"/>
      <w:bookmarkStart w:id="8" w:name="_Toc5791216"/>
      <w:bookmarkStart w:id="9" w:name="_Toc91259029"/>
      <w:bookmarkStart w:id="10" w:name="_Toc131759658"/>
      <w:bookmarkEnd w:id="6"/>
      <w:r w:rsidRPr="003F42E9">
        <w:rPr>
          <w:b w:val="0"/>
          <w:bCs w:val="0"/>
          <w:sz w:val="28"/>
          <w:szCs w:val="28"/>
        </w:rPr>
        <w:lastRenderedPageBreak/>
        <w:t>Приложение 1</w:t>
      </w:r>
      <w:bookmarkEnd w:id="7"/>
      <w:bookmarkEnd w:id="8"/>
      <w:bookmarkEnd w:id="9"/>
      <w:bookmarkEnd w:id="10"/>
    </w:p>
    <w:p w14:paraId="60F333FE" w14:textId="77777777" w:rsidR="00212EBD" w:rsidRPr="00AB642F" w:rsidRDefault="00212EBD" w:rsidP="00212E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E70CF" w14:textId="77777777" w:rsidR="00212EBD" w:rsidRPr="00AB642F" w:rsidRDefault="00212EBD" w:rsidP="00212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ПЕРЕЧЕНЬ</w:t>
      </w:r>
    </w:p>
    <w:p w14:paraId="43DAB7B9" w14:textId="77777777" w:rsidR="00212EBD" w:rsidRPr="00AB642F" w:rsidRDefault="00212EBD" w:rsidP="00212E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нормативных правовых актов и локальных правовых актов Банка</w:t>
      </w:r>
      <w:r w:rsidRPr="000F1367">
        <w:rPr>
          <w:rStyle w:val="a6"/>
          <w:rFonts w:ascii="Times New Roman" w:hAnsi="Times New Roman" w:cs="Times New Roman"/>
          <w:color w:val="0000FF"/>
          <w:sz w:val="28"/>
          <w:szCs w:val="28"/>
        </w:rPr>
        <w:footnoteReference w:id="1"/>
      </w:r>
    </w:p>
    <w:p w14:paraId="38C71E3B" w14:textId="77777777" w:rsidR="00212EBD" w:rsidRPr="00AB642F" w:rsidRDefault="00212EBD" w:rsidP="00212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DF9819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1. Банковский кодекс Республики Беларусь.</w:t>
      </w:r>
    </w:p>
    <w:p w14:paraId="21DAC8AE" w14:textId="77777777" w:rsidR="00212EBD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прил1_п2"/>
      <w:r w:rsidRPr="00AB642F">
        <w:rPr>
          <w:rFonts w:ascii="Times New Roman" w:hAnsi="Times New Roman" w:cs="Times New Roman"/>
          <w:sz w:val="28"/>
          <w:szCs w:val="28"/>
        </w:rPr>
        <w:t>2</w:t>
      </w:r>
      <w:bookmarkEnd w:id="11"/>
      <w:r w:rsidRPr="00AB642F">
        <w:rPr>
          <w:rFonts w:ascii="Times New Roman" w:hAnsi="Times New Roman" w:cs="Times New Roman"/>
          <w:sz w:val="28"/>
          <w:szCs w:val="28"/>
        </w:rPr>
        <w:t>. Закон Республики Беларусь от 19.04.2022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164-З «О платежных системах и платежных услугах».</w:t>
      </w:r>
    </w:p>
    <w:p w14:paraId="61518DA1" w14:textId="77777777" w:rsidR="00212EBD" w:rsidRPr="00C60029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прил1_п2_1"/>
      <w:r w:rsidRPr="00C60029">
        <w:rPr>
          <w:rFonts w:ascii="Times New Roman" w:hAnsi="Times New Roman" w:cs="Times New Roman"/>
          <w:color w:val="000000"/>
          <w:sz w:val="28"/>
          <w:szCs w:val="28"/>
        </w:rPr>
        <w:t>2-1</w:t>
      </w:r>
      <w:bookmarkEnd w:id="12"/>
      <w:r w:rsidRPr="00C6002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60029">
        <w:rPr>
          <w:rFonts w:ascii="Times New Roman" w:hAnsi="Times New Roman" w:cs="Times New Roman"/>
          <w:sz w:val="28"/>
          <w:szCs w:val="28"/>
        </w:rPr>
        <w:t>Закон Республики Беларусь от 30.06.2014 № 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10B35233" w14:textId="77777777" w:rsidR="00212EBD" w:rsidRPr="00914034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029">
        <w:rPr>
          <w:rFonts w:ascii="Times New Roman" w:hAnsi="Times New Roman" w:cs="Times New Roman"/>
          <w:sz w:val="28"/>
          <w:szCs w:val="28"/>
        </w:rPr>
        <w:t>3. Стратегия Национального банка по управлению платежными рисками на платежном рынке Республики Беларусь, утвержденная постановлением Правления Национального банка Республики Беларусь от 26.08.2022 № 315.</w:t>
      </w:r>
    </w:p>
    <w:p w14:paraId="4A6539E8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4. Инструкция по учету и оплате расчетных документов, не оплаченных по вине банков и небанковских кредитно-финансовых организаций, утвержденная постановлением Правления Национального банка Республики Беларусь от 28.07.2005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111.</w:t>
      </w:r>
    </w:p>
    <w:p w14:paraId="286B48C8" w14:textId="77777777" w:rsidR="00212EBD" w:rsidRPr="009E11B1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029">
        <w:rPr>
          <w:rFonts w:ascii="Times New Roman" w:hAnsi="Times New Roman" w:cs="Times New Roman"/>
          <w:sz w:val="28"/>
          <w:szCs w:val="28"/>
        </w:rPr>
        <w:t xml:space="preserve">5. Правила системы </w:t>
      </w:r>
      <w:r w:rsidRPr="00C60029">
        <w:rPr>
          <w:rFonts w:ascii="Times New Roman" w:hAnsi="Times New Roman" w:cs="Times New Roman"/>
          <w:sz w:val="28"/>
          <w:szCs w:val="28"/>
          <w:lang w:val="en-US"/>
        </w:rPr>
        <w:t>BISS</w:t>
      </w:r>
      <w:r w:rsidRPr="00C60029">
        <w:rPr>
          <w:rFonts w:ascii="Times New Roman" w:hAnsi="Times New Roman" w:cs="Times New Roman"/>
          <w:sz w:val="28"/>
          <w:szCs w:val="28"/>
          <w:lang w:val="be-BY"/>
        </w:rPr>
        <w:t>, утвержденные постановлен</w:t>
      </w:r>
      <w:r w:rsidRPr="00C60029">
        <w:rPr>
          <w:rFonts w:ascii="Times New Roman" w:hAnsi="Times New Roman" w:cs="Times New Roman"/>
          <w:sz w:val="28"/>
          <w:szCs w:val="28"/>
        </w:rPr>
        <w:t>и</w:t>
      </w:r>
      <w:r w:rsidRPr="00C60029">
        <w:rPr>
          <w:rFonts w:ascii="Times New Roman" w:hAnsi="Times New Roman" w:cs="Times New Roman"/>
          <w:sz w:val="28"/>
          <w:szCs w:val="28"/>
          <w:lang w:val="be-BY"/>
        </w:rPr>
        <w:t xml:space="preserve">ем Правления Национального банка </w:t>
      </w:r>
      <w:r w:rsidRPr="00C60029">
        <w:rPr>
          <w:rFonts w:ascii="Times New Roman" w:hAnsi="Times New Roman" w:cs="Times New Roman"/>
          <w:sz w:val="28"/>
          <w:szCs w:val="28"/>
        </w:rPr>
        <w:t>Республики Беларусь от 20.09.2022 № 353.</w:t>
      </w:r>
    </w:p>
    <w:p w14:paraId="36D3EFC8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6. Инструкция о порядке оказания платежных услуг на территории Республики Беларусь, утвержденная постановлением Правления Национального банка Республики Беларусь от 05.12.2022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453.</w:t>
      </w:r>
    </w:p>
    <w:p w14:paraId="7BA29E4D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7. Политика управления рисками в платежной системе ОАО «АСБ Беларусбанк», утвержденная Правлением Банка 07.06.2018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64.3).</w:t>
      </w:r>
    </w:p>
    <w:p w14:paraId="289FD73A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8. Положение об управлении ИТ-риском в ОАО «АСБ Беларусбанк», утвержденное Правлением Банка 09.02.2023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18.3).</w:t>
      </w:r>
    </w:p>
    <w:p w14:paraId="17108B3D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9. Положение об обеспечении непрерывности функционирования и восстановления работоспособности ОАО «АСБ Беларусбанк», утвержденное Правлением Банка 12.12.2022 (протокол № 181.2).</w:t>
      </w:r>
    </w:p>
    <w:p w14:paraId="70BA5B5B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10. Положение о системе управления киберриском в ОАО «АСБ Беларусбанк», утвержденное Правлением Банка 03.04.2020 (протокол № 44.5).</w:t>
      </w:r>
    </w:p>
    <w:p w14:paraId="384F94BD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11. Положение об управлении операционным риском в ОАО «АСБ Беларусбанк», утвержденное Правлением Банка 03.08.2017 (протокол № 83.3).</w:t>
      </w:r>
    </w:p>
    <w:p w14:paraId="6009F90A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12. Положение о системе «Клиент-банк», используемой в ОАО «АСБ Беларусбанк», утвержденное Правлением Банка 03.08.2020 (протокол № 100.5).</w:t>
      </w:r>
    </w:p>
    <w:p w14:paraId="79A3E16D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 xml:space="preserve">13. Правила внутреннего контроля ОАО «АСБ Беларусбанк» в сфере предотвращения легализации доходов, полученных преступным путем, финансирования террористической деятельности и финансирования </w:t>
      </w:r>
      <w:r w:rsidRPr="00AB642F">
        <w:rPr>
          <w:rFonts w:ascii="Times New Roman" w:hAnsi="Times New Roman" w:cs="Times New Roman"/>
          <w:sz w:val="28"/>
          <w:szCs w:val="28"/>
        </w:rPr>
        <w:lastRenderedPageBreak/>
        <w:t>распространения оружия массового поражения, утвержденные Правлением Банка 12.11.2020 (протокол № 150.10).</w:t>
      </w:r>
    </w:p>
    <w:p w14:paraId="1F0C08E9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14. Положение о порядке открытия (закрытия) и ведения счетов юридических лиц и индивидуальных предпринимателей в ОАО «АСБ Беларусбанк», утвержденное Правлением Банка 25.08.2021 (протокол № 108.4).</w:t>
      </w:r>
    </w:p>
    <w:p w14:paraId="2BBEA54B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15. Положение о порядке организации работы по зачислению и выплате денежных средств физическим лицам в ОАО «АСБ Беларусбанк», утвержденное Правлением Банка 22.02.2018 (протокол № 22.4).</w:t>
      </w:r>
    </w:p>
    <w:p w14:paraId="4BD7EF22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16. Сборник вознаграждений за операции, выполняемые ОАО «АСБ Беларусбанк», утвержденный Правлением Банка 06.07.2022 (протокол № 101.4).</w:t>
      </w:r>
    </w:p>
    <w:p w14:paraId="35FDD0BB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17. Регламент работы автоматической депозитной машины по приему денежной наличности в учреждениях ОАО «АСБ Беларусбанк», утвержденный должностными лицами Банка 15.05.2020.</w:t>
      </w:r>
    </w:p>
    <w:p w14:paraId="653D668E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18. Правила установления ОАО «АСБ Беларусбанк» ограничений при совершении операций с использованием банковских платежных карточек, утвержденные Правлением Банка 26.02.2021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30.5).</w:t>
      </w:r>
    </w:p>
    <w:p w14:paraId="7F944081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19. Политика информационной безопасности ОАО «АСБ Беларусбанк», утвержденная Правлением Банка 26.12.2016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149.3).</w:t>
      </w:r>
    </w:p>
    <w:p w14:paraId="757B9CC8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20. Инструкция о порядке совершения операций по счетам физических лиц в ОАО «АСБ Беларусбанк», утвержденная Правлением Банка 16.11.2016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129.5).</w:t>
      </w:r>
    </w:p>
    <w:p w14:paraId="223A91AE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21. Инструкция по совершению в ОАО «АСБ Беларусбанк» операций по счетам физических лиц посредством систем ДБО, утвержденная Правлением Банка 13.12.2016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144.5).</w:t>
      </w:r>
    </w:p>
    <w:p w14:paraId="3BF37EC7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22. Особенности совершения операций по базовым счетам физических лиц в ОАО «АСБ Беларусбанк», утвержденные Правлением Банка 17.08.2022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120.4).</w:t>
      </w:r>
    </w:p>
    <w:p w14:paraId="07536579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23. Правила ОАО «АСБ Беларусбанк» о порядке совершения операций с банковскими платежными карточками, утвержденные Правлением Банка 02.03.2023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27.7).</w:t>
      </w:r>
    </w:p>
    <w:p w14:paraId="256889E2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Инструкция о порядке осуществления ОАО «АСБ Беларусбанк» валютно-обменных операций на внутреннем (биржевом, внебиржевом) и внешнем валютных рынках, утвержденная Правлением Банка 31.03.2023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42.12).</w:t>
      </w:r>
    </w:p>
    <w:p w14:paraId="367E5C0C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25. Указания по применению в ОАО «АСБ Беларусбанк» нормативных правовых актов, регулирующих безналичные расчеты, утвержденные Правлением Банка 09.02.2023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18.2).</w:t>
      </w:r>
    </w:p>
    <w:p w14:paraId="289E1400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26. Инструкция о порядке исполнения банковских переводов юридических лиц и банков-корреспондентов в ОАО «АСБ Беларусбанк», утвержденная Правлением Банка 16.03.2023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33.5).</w:t>
      </w:r>
    </w:p>
    <w:p w14:paraId="5371FD18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 xml:space="preserve">27. Правила работы по организации обслуживания держателей карточек в организации торговли (сервиса), организации торговли (сервиса) в сети Интернет, пункте выдачи наличных, пункте приема коммунальных платежей </w:t>
      </w:r>
      <w:r w:rsidRPr="00AB642F">
        <w:rPr>
          <w:rFonts w:ascii="Times New Roman" w:hAnsi="Times New Roman" w:cs="Times New Roman"/>
          <w:sz w:val="28"/>
          <w:szCs w:val="28"/>
        </w:rPr>
        <w:lastRenderedPageBreak/>
        <w:t>ОАО «АСБ Беларусбанк», утвержденные Правлением Банка 09.11.2022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161.3).</w:t>
      </w:r>
    </w:p>
    <w:p w14:paraId="57076B4B" w14:textId="77777777" w:rsidR="00212EBD" w:rsidRPr="00296286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86">
        <w:rPr>
          <w:rFonts w:ascii="Times New Roman" w:hAnsi="Times New Roman" w:cs="Times New Roman"/>
          <w:sz w:val="28"/>
          <w:szCs w:val="28"/>
        </w:rPr>
        <w:t>28. </w:t>
      </w:r>
      <w:r w:rsidRPr="008F2CB0">
        <w:rPr>
          <w:rFonts w:ascii="Times New Roman" w:hAnsi="Times New Roman" w:cs="Times New Roman"/>
          <w:sz w:val="28"/>
          <w:szCs w:val="28"/>
        </w:rPr>
        <w:t>Положение о системе расчетов ОАО «АСБ Беларусбанк» в белорусских рублях, утвержденное Правлением Банка 17.07.2023 (протокол № 102.4).</w:t>
      </w:r>
    </w:p>
    <w:p w14:paraId="52ABF376" w14:textId="77777777" w:rsidR="00212EBD" w:rsidRPr="00AB642F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Правила организации работы по банковскому обслуживанию клиентов-физических лиц с использованием системы «Интернет-банкинг» в ОАО «АСБ Беларусбанк», утвержденные Правлением Банка 30.07.2019 (протокол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642F">
        <w:rPr>
          <w:rFonts w:ascii="Times New Roman" w:hAnsi="Times New Roman" w:cs="Times New Roman"/>
          <w:sz w:val="28"/>
          <w:szCs w:val="28"/>
        </w:rPr>
        <w:t>79.8).</w:t>
      </w:r>
    </w:p>
    <w:p w14:paraId="29A7E031" w14:textId="77777777" w:rsidR="00212EBD" w:rsidRDefault="00212EBD" w:rsidP="00212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F">
        <w:rPr>
          <w:rFonts w:ascii="Times New Roman" w:hAnsi="Times New Roman" w:cs="Times New Roman"/>
          <w:sz w:val="28"/>
          <w:szCs w:val="28"/>
        </w:rPr>
        <w:t xml:space="preserve">30. Регламент работы с банкоматом Recycling с расширенным функционалом в ОАО «АСБ Беларусбанк», утвержденный должностным лицом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B642F">
        <w:rPr>
          <w:rFonts w:ascii="Times New Roman" w:hAnsi="Times New Roman" w:cs="Times New Roman"/>
          <w:sz w:val="28"/>
          <w:szCs w:val="28"/>
        </w:rPr>
        <w:t>анка 30.03.2022.</w:t>
      </w:r>
    </w:p>
    <w:p w14:paraId="7ACCFC1B" w14:textId="28F8F284" w:rsidR="00212EBD" w:rsidRDefault="00212EBD" w:rsidP="00212EBD">
      <w:pPr>
        <w:pStyle w:val="a3"/>
        <w:spacing w:before="60"/>
        <w:jc w:val="both"/>
        <w:rPr>
          <w:rFonts w:ascii="Times New Roman" w:hAnsi="Times New Roman" w:cs="Times New Roman"/>
          <w:sz w:val="28"/>
          <w:szCs w:val="28"/>
        </w:rPr>
      </w:pPr>
    </w:p>
    <w:p w14:paraId="24F094A4" w14:textId="77777777" w:rsidR="00212EBD" w:rsidRPr="00F47B84" w:rsidRDefault="00212EBD" w:rsidP="00212EBD">
      <w:pPr>
        <w:pStyle w:val="a3"/>
        <w:ind w:firstLine="709"/>
        <w:rPr>
          <w:rFonts w:ascii="Times New Roman" w:hAnsi="Times New Roman" w:cs="Times New Roman"/>
          <w:strike/>
          <w:sz w:val="28"/>
          <w:szCs w:val="28"/>
        </w:rPr>
      </w:pPr>
    </w:p>
    <w:p w14:paraId="53AA8F9B" w14:textId="503CA3BE" w:rsidR="000A7C55" w:rsidRPr="00F47B84" w:rsidRDefault="000A7C55" w:rsidP="00212EBD">
      <w:pPr>
        <w:pStyle w:val="1"/>
        <w:spacing w:before="0" w:beforeAutospacing="0"/>
        <w:jc w:val="center"/>
        <w:rPr>
          <w:strike/>
          <w:sz w:val="28"/>
          <w:szCs w:val="28"/>
        </w:rPr>
      </w:pPr>
    </w:p>
    <w:sectPr w:rsidR="000A7C55" w:rsidRPr="00F47B84" w:rsidSect="000F1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19250" w14:textId="77777777" w:rsidR="008F5494" w:rsidRDefault="008F5494" w:rsidP="0019155B">
      <w:pPr>
        <w:spacing w:after="0" w:line="240" w:lineRule="auto"/>
      </w:pPr>
      <w:r>
        <w:separator/>
      </w:r>
    </w:p>
  </w:endnote>
  <w:endnote w:type="continuationSeparator" w:id="0">
    <w:p w14:paraId="4E9149C9" w14:textId="77777777" w:rsidR="008F5494" w:rsidRDefault="008F5494" w:rsidP="0019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8DBC7" w14:textId="77777777" w:rsidR="008F2E61" w:rsidRDefault="008F2E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7E44" w14:textId="77777777" w:rsidR="008F2E61" w:rsidRDefault="008F2E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D051" w14:textId="77777777" w:rsidR="008F2E61" w:rsidRDefault="008F2E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0300" w14:textId="77777777" w:rsidR="008F5494" w:rsidRDefault="008F5494" w:rsidP="0019155B">
      <w:pPr>
        <w:spacing w:after="0" w:line="240" w:lineRule="auto"/>
      </w:pPr>
      <w:r>
        <w:separator/>
      </w:r>
    </w:p>
  </w:footnote>
  <w:footnote w:type="continuationSeparator" w:id="0">
    <w:p w14:paraId="312F413A" w14:textId="77777777" w:rsidR="008F5494" w:rsidRDefault="008F5494" w:rsidP="0019155B">
      <w:pPr>
        <w:spacing w:after="0" w:line="240" w:lineRule="auto"/>
      </w:pPr>
      <w:r>
        <w:continuationSeparator/>
      </w:r>
    </w:p>
  </w:footnote>
  <w:footnote w:id="1">
    <w:p w14:paraId="3C8322BB" w14:textId="77777777" w:rsidR="00212EBD" w:rsidRPr="00C1303C" w:rsidRDefault="00212EBD" w:rsidP="00212EBD">
      <w:pPr>
        <w:pStyle w:val="a4"/>
        <w:spacing w:line="21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03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1303C">
        <w:rPr>
          <w:rFonts w:ascii="Times New Roman" w:hAnsi="Times New Roman" w:cs="Times New Roman"/>
          <w:sz w:val="24"/>
          <w:szCs w:val="24"/>
        </w:rPr>
        <w:t> С принятием новых нормативных правовых актов и локальных правовых актов либо внесением в них изменений руководствоваться вновь принятыми актами.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1BF8" w14:textId="77777777" w:rsidR="008F2E61" w:rsidRDefault="008F2E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14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0AF082" w14:textId="4860C91C" w:rsidR="00990A0C" w:rsidRPr="000F1367" w:rsidRDefault="00990A0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13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13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13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1068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F13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B95809" w14:textId="77777777" w:rsidR="00990A0C" w:rsidRDefault="00990A0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B8F1" w14:textId="77777777" w:rsidR="008F2E61" w:rsidRDefault="008F2E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1E11"/>
    <w:multiLevelType w:val="hybridMultilevel"/>
    <w:tmpl w:val="901E7B7A"/>
    <w:lvl w:ilvl="0" w:tplc="743A3DF0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C52EC8"/>
    <w:multiLevelType w:val="hybridMultilevel"/>
    <w:tmpl w:val="BBEC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C708F"/>
    <w:multiLevelType w:val="hybridMultilevel"/>
    <w:tmpl w:val="00C2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5B38"/>
    <w:multiLevelType w:val="hybridMultilevel"/>
    <w:tmpl w:val="D1F0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585"/>
    <w:multiLevelType w:val="hybridMultilevel"/>
    <w:tmpl w:val="5D96B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17"/>
    <w:rsid w:val="000005DD"/>
    <w:rsid w:val="000131A5"/>
    <w:rsid w:val="000147A3"/>
    <w:rsid w:val="000224ED"/>
    <w:rsid w:val="00072195"/>
    <w:rsid w:val="000746F8"/>
    <w:rsid w:val="0007583E"/>
    <w:rsid w:val="000A1F51"/>
    <w:rsid w:val="000A2276"/>
    <w:rsid w:val="000A7C55"/>
    <w:rsid w:val="000A7CFE"/>
    <w:rsid w:val="000B64E5"/>
    <w:rsid w:val="000B6C93"/>
    <w:rsid w:val="000C5C10"/>
    <w:rsid w:val="000D0631"/>
    <w:rsid w:val="000D1ABD"/>
    <w:rsid w:val="000E1A94"/>
    <w:rsid w:val="000E2461"/>
    <w:rsid w:val="000E371C"/>
    <w:rsid w:val="000F1367"/>
    <w:rsid w:val="001019E4"/>
    <w:rsid w:val="0010221F"/>
    <w:rsid w:val="00102881"/>
    <w:rsid w:val="00132770"/>
    <w:rsid w:val="0013715C"/>
    <w:rsid w:val="0019155B"/>
    <w:rsid w:val="001B2A47"/>
    <w:rsid w:val="001C5483"/>
    <w:rsid w:val="001C5E44"/>
    <w:rsid w:val="001D2B69"/>
    <w:rsid w:val="001D7EBE"/>
    <w:rsid w:val="001E52CE"/>
    <w:rsid w:val="001F11E2"/>
    <w:rsid w:val="001F251B"/>
    <w:rsid w:val="001F363F"/>
    <w:rsid w:val="00211800"/>
    <w:rsid w:val="00212EBD"/>
    <w:rsid w:val="00226845"/>
    <w:rsid w:val="00236888"/>
    <w:rsid w:val="00237D3A"/>
    <w:rsid w:val="002433DD"/>
    <w:rsid w:val="0027104A"/>
    <w:rsid w:val="002723E4"/>
    <w:rsid w:val="00293077"/>
    <w:rsid w:val="002A6278"/>
    <w:rsid w:val="002D3C93"/>
    <w:rsid w:val="002F2B1C"/>
    <w:rsid w:val="00305795"/>
    <w:rsid w:val="00306F2F"/>
    <w:rsid w:val="00312CBB"/>
    <w:rsid w:val="0032610E"/>
    <w:rsid w:val="0035145B"/>
    <w:rsid w:val="00366478"/>
    <w:rsid w:val="00385929"/>
    <w:rsid w:val="00391625"/>
    <w:rsid w:val="003E5CB8"/>
    <w:rsid w:val="003E759E"/>
    <w:rsid w:val="003F1B7B"/>
    <w:rsid w:val="003F42E9"/>
    <w:rsid w:val="004137F0"/>
    <w:rsid w:val="004146FD"/>
    <w:rsid w:val="004208C2"/>
    <w:rsid w:val="00433C39"/>
    <w:rsid w:val="0044459B"/>
    <w:rsid w:val="0044492D"/>
    <w:rsid w:val="004720C1"/>
    <w:rsid w:val="00494EF0"/>
    <w:rsid w:val="00495098"/>
    <w:rsid w:val="004A4EA5"/>
    <w:rsid w:val="004B70EE"/>
    <w:rsid w:val="004C613B"/>
    <w:rsid w:val="004C76E4"/>
    <w:rsid w:val="004E0E0A"/>
    <w:rsid w:val="00534423"/>
    <w:rsid w:val="00547039"/>
    <w:rsid w:val="0056770F"/>
    <w:rsid w:val="00576119"/>
    <w:rsid w:val="005878A9"/>
    <w:rsid w:val="00597810"/>
    <w:rsid w:val="005B110E"/>
    <w:rsid w:val="005B1583"/>
    <w:rsid w:val="005B332C"/>
    <w:rsid w:val="005B79C0"/>
    <w:rsid w:val="005C7296"/>
    <w:rsid w:val="005E4B0A"/>
    <w:rsid w:val="00617C7F"/>
    <w:rsid w:val="00630118"/>
    <w:rsid w:val="0063085F"/>
    <w:rsid w:val="0063259F"/>
    <w:rsid w:val="00633514"/>
    <w:rsid w:val="0066229F"/>
    <w:rsid w:val="00676BE0"/>
    <w:rsid w:val="00694AD7"/>
    <w:rsid w:val="00697E6C"/>
    <w:rsid w:val="006A7840"/>
    <w:rsid w:val="006B192E"/>
    <w:rsid w:val="006B7D0E"/>
    <w:rsid w:val="006C53FF"/>
    <w:rsid w:val="006C7B17"/>
    <w:rsid w:val="006E7D34"/>
    <w:rsid w:val="006F7E00"/>
    <w:rsid w:val="0070175B"/>
    <w:rsid w:val="00703C4B"/>
    <w:rsid w:val="007149A0"/>
    <w:rsid w:val="00732F6B"/>
    <w:rsid w:val="00740D10"/>
    <w:rsid w:val="00777AC1"/>
    <w:rsid w:val="007B509B"/>
    <w:rsid w:val="007C7AAF"/>
    <w:rsid w:val="007D6070"/>
    <w:rsid w:val="007E12F2"/>
    <w:rsid w:val="00815252"/>
    <w:rsid w:val="00864AD2"/>
    <w:rsid w:val="008750B5"/>
    <w:rsid w:val="008779BE"/>
    <w:rsid w:val="00884CCC"/>
    <w:rsid w:val="00885E06"/>
    <w:rsid w:val="008946ED"/>
    <w:rsid w:val="008A3D44"/>
    <w:rsid w:val="008B14E0"/>
    <w:rsid w:val="008D5486"/>
    <w:rsid w:val="008F0C14"/>
    <w:rsid w:val="008F2E61"/>
    <w:rsid w:val="008F5494"/>
    <w:rsid w:val="008F6860"/>
    <w:rsid w:val="00937BAD"/>
    <w:rsid w:val="009562D8"/>
    <w:rsid w:val="00960E35"/>
    <w:rsid w:val="00990A0C"/>
    <w:rsid w:val="00994BC6"/>
    <w:rsid w:val="009B0151"/>
    <w:rsid w:val="009B26CA"/>
    <w:rsid w:val="009C4F59"/>
    <w:rsid w:val="009C692B"/>
    <w:rsid w:val="009D1FB8"/>
    <w:rsid w:val="009E50BF"/>
    <w:rsid w:val="009E5D2A"/>
    <w:rsid w:val="009F74CC"/>
    <w:rsid w:val="00A110B6"/>
    <w:rsid w:val="00A54C77"/>
    <w:rsid w:val="00A61068"/>
    <w:rsid w:val="00A80E72"/>
    <w:rsid w:val="00AB38CA"/>
    <w:rsid w:val="00AB3FBF"/>
    <w:rsid w:val="00AB642F"/>
    <w:rsid w:val="00AB64F3"/>
    <w:rsid w:val="00AC2AC0"/>
    <w:rsid w:val="00AE28F3"/>
    <w:rsid w:val="00AE77F0"/>
    <w:rsid w:val="00AF57D5"/>
    <w:rsid w:val="00B1401E"/>
    <w:rsid w:val="00B25989"/>
    <w:rsid w:val="00B51CD7"/>
    <w:rsid w:val="00B57605"/>
    <w:rsid w:val="00B64F40"/>
    <w:rsid w:val="00B7412E"/>
    <w:rsid w:val="00B85D55"/>
    <w:rsid w:val="00B9337C"/>
    <w:rsid w:val="00B93A28"/>
    <w:rsid w:val="00BB2B24"/>
    <w:rsid w:val="00BB6CA3"/>
    <w:rsid w:val="00BC1FAC"/>
    <w:rsid w:val="00BD3BD9"/>
    <w:rsid w:val="00C118F3"/>
    <w:rsid w:val="00C1303C"/>
    <w:rsid w:val="00C136B3"/>
    <w:rsid w:val="00C236F5"/>
    <w:rsid w:val="00C42823"/>
    <w:rsid w:val="00C437A0"/>
    <w:rsid w:val="00C50D67"/>
    <w:rsid w:val="00C60029"/>
    <w:rsid w:val="00C76ACE"/>
    <w:rsid w:val="00C825E1"/>
    <w:rsid w:val="00C82AF5"/>
    <w:rsid w:val="00C90ACA"/>
    <w:rsid w:val="00CA4F74"/>
    <w:rsid w:val="00CA7434"/>
    <w:rsid w:val="00CB65A9"/>
    <w:rsid w:val="00CC7E8B"/>
    <w:rsid w:val="00CF37DA"/>
    <w:rsid w:val="00CF4823"/>
    <w:rsid w:val="00CF5A94"/>
    <w:rsid w:val="00D00623"/>
    <w:rsid w:val="00D013A6"/>
    <w:rsid w:val="00D177F1"/>
    <w:rsid w:val="00D17DA6"/>
    <w:rsid w:val="00D308E0"/>
    <w:rsid w:val="00D30BA4"/>
    <w:rsid w:val="00D82AF1"/>
    <w:rsid w:val="00D842A3"/>
    <w:rsid w:val="00D928F1"/>
    <w:rsid w:val="00D9386D"/>
    <w:rsid w:val="00D97814"/>
    <w:rsid w:val="00DA7AD3"/>
    <w:rsid w:val="00DB2EBA"/>
    <w:rsid w:val="00DB54B4"/>
    <w:rsid w:val="00DB794D"/>
    <w:rsid w:val="00DB7D91"/>
    <w:rsid w:val="00DC156D"/>
    <w:rsid w:val="00DD09BB"/>
    <w:rsid w:val="00DE68A1"/>
    <w:rsid w:val="00DE735D"/>
    <w:rsid w:val="00E413D4"/>
    <w:rsid w:val="00E5195F"/>
    <w:rsid w:val="00E75618"/>
    <w:rsid w:val="00EB73E7"/>
    <w:rsid w:val="00EC6F6A"/>
    <w:rsid w:val="00ED0275"/>
    <w:rsid w:val="00F137AD"/>
    <w:rsid w:val="00F37610"/>
    <w:rsid w:val="00F47B84"/>
    <w:rsid w:val="00F6754D"/>
    <w:rsid w:val="00F83F54"/>
    <w:rsid w:val="00F97CBF"/>
    <w:rsid w:val="00FA1E2E"/>
    <w:rsid w:val="00FB09D1"/>
    <w:rsid w:val="00FB73BC"/>
    <w:rsid w:val="00FC538A"/>
    <w:rsid w:val="00FD2E72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F4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BD"/>
  </w:style>
  <w:style w:type="paragraph" w:styleId="1">
    <w:name w:val="heading 1"/>
    <w:basedOn w:val="a"/>
    <w:link w:val="10"/>
    <w:qFormat/>
    <w:rsid w:val="00B93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B1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1915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15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155B"/>
    <w:rPr>
      <w:vertAlign w:val="superscript"/>
    </w:rPr>
  </w:style>
  <w:style w:type="paragraph" w:customStyle="1" w:styleId="14">
    <w:name w:val="Основной 14+"/>
    <w:basedOn w:val="a"/>
    <w:link w:val="140"/>
    <w:rsid w:val="00990A0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990A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90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A0C"/>
  </w:style>
  <w:style w:type="paragraph" w:styleId="a9">
    <w:name w:val="footer"/>
    <w:basedOn w:val="a"/>
    <w:link w:val="aa"/>
    <w:unhideWhenUsed/>
    <w:rsid w:val="00990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90A0C"/>
  </w:style>
  <w:style w:type="character" w:styleId="ab">
    <w:name w:val="Hyperlink"/>
    <w:uiPriority w:val="99"/>
    <w:rsid w:val="0027104A"/>
    <w:rPr>
      <w:color w:val="0000FF"/>
      <w:u w:val="single"/>
    </w:rPr>
  </w:style>
  <w:style w:type="character" w:customStyle="1" w:styleId="dot-line-rowend">
    <w:name w:val="dot-line-row__end"/>
    <w:basedOn w:val="a0"/>
    <w:rsid w:val="00617C7F"/>
  </w:style>
  <w:style w:type="character" w:customStyle="1" w:styleId="dot-line-rowstart">
    <w:name w:val="dot-line-row__start"/>
    <w:basedOn w:val="a0"/>
    <w:rsid w:val="00617C7F"/>
  </w:style>
  <w:style w:type="character" w:customStyle="1" w:styleId="10">
    <w:name w:val="Заголовок 1 Знак"/>
    <w:basedOn w:val="a0"/>
    <w:link w:val="1"/>
    <w:rsid w:val="00B93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39"/>
    <w:rsid w:val="004E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4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7B8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E1A94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B2598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2598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98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598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2598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815252"/>
    <w:pPr>
      <w:spacing w:after="0" w:line="240" w:lineRule="auto"/>
    </w:pPr>
  </w:style>
  <w:style w:type="paragraph" w:customStyle="1" w:styleId="141">
    <w:name w:val="Основной 14"/>
    <w:basedOn w:val="a"/>
    <w:link w:val="142"/>
    <w:uiPriority w:val="99"/>
    <w:rsid w:val="006B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3">
    <w:name w:val="Основной 14ц"/>
    <w:basedOn w:val="141"/>
    <w:rsid w:val="006B192E"/>
    <w:pPr>
      <w:jc w:val="center"/>
    </w:pPr>
  </w:style>
  <w:style w:type="paragraph" w:customStyle="1" w:styleId="3">
    <w:name w:val="Утверждено 3"/>
    <w:basedOn w:val="a"/>
    <w:next w:val="141"/>
    <w:rsid w:val="006B192E"/>
    <w:pPr>
      <w:spacing w:before="160" w:after="0" w:line="240" w:lineRule="auto"/>
      <w:ind w:left="567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Утверждено 2"/>
    <w:basedOn w:val="3"/>
    <w:next w:val="3"/>
    <w:rsid w:val="006B192E"/>
    <w:pPr>
      <w:spacing w:before="0" w:line="280" w:lineRule="exact"/>
    </w:pPr>
  </w:style>
  <w:style w:type="paragraph" w:customStyle="1" w:styleId="11">
    <w:name w:val="Утверждено 1"/>
    <w:basedOn w:val="a"/>
    <w:next w:val="2"/>
    <w:rsid w:val="006B192E"/>
    <w:pPr>
      <w:spacing w:after="0" w:line="360" w:lineRule="auto"/>
      <w:ind w:left="567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2">
    <w:name w:val="Основной 14 Знак"/>
    <w:link w:val="141"/>
    <w:uiPriority w:val="99"/>
    <w:rsid w:val="006B19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37BAD"/>
    <w:pPr>
      <w:tabs>
        <w:tab w:val="right" w:leader="dot" w:pos="9628"/>
      </w:tabs>
      <w:spacing w:after="100"/>
    </w:pPr>
  </w:style>
  <w:style w:type="character" w:styleId="af6">
    <w:name w:val="FollowedHyperlink"/>
    <w:basedOn w:val="a0"/>
    <w:uiPriority w:val="99"/>
    <w:semiHidden/>
    <w:unhideWhenUsed/>
    <w:rsid w:val="000F1367"/>
    <w:rPr>
      <w:color w:val="954F72" w:themeColor="followedHyperlink"/>
      <w:u w:val="single"/>
    </w:rPr>
  </w:style>
  <w:style w:type="character" w:styleId="af7">
    <w:name w:val="page number"/>
    <w:rsid w:val="00FB73BC"/>
    <w:rPr>
      <w:rFonts w:ascii="Times New Roman" w:hAnsi="Times New Roman"/>
      <w:color w:val="auto"/>
      <w:spacing w:val="0"/>
      <w:w w:val="100"/>
      <w:kern w:val="0"/>
      <w:positio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703E-9A8B-4B2B-B7E3-05994128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2025-10-08T15:01:00Z</dcterms:created>
  <dcterms:modified xsi:type="dcterms:W3CDTF">2025-10-08T15:01:00Z</dcterms:modified>
</cp:coreProperties>
</file>