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pPr w:leftFromText="180" w:rightFromText="180" w:horzAnchor="margin" w:tblpY="-1079"/>
        <w:tblW w:w="9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490"/>
        <w:gridCol w:w="951"/>
        <w:gridCol w:w="4222"/>
      </w:tblGrid>
      <w:tr w:rsidR="00250EF6" w:rsidRPr="00103757" w14:paraId="443FBF61" w14:textId="77777777" w:rsidTr="00916FAD">
        <w:trPr>
          <w:trHeight w:val="1077"/>
        </w:trPr>
        <w:tc>
          <w:tcPr>
            <w:tcW w:w="4200" w:type="dxa"/>
          </w:tcPr>
          <w:p w14:paraId="72291120" w14:textId="77777777" w:rsidR="00250EF6" w:rsidRPr="00916FAD" w:rsidRDefault="00250EF6" w:rsidP="0031693D">
            <w:pPr>
              <w:spacing w:line="280" w:lineRule="exact"/>
              <w:jc w:val="center"/>
              <w:rPr>
                <w:rFonts w:eastAsia="Times New Roman" w:cs="Times New Roman"/>
                <w:sz w:val="12"/>
                <w:szCs w:val="12"/>
                <w:lang w:val="en-US" w:eastAsia="ru-RU"/>
              </w:rPr>
            </w:pPr>
            <w:bookmarkStart w:id="0" w:name="_GoBack"/>
            <w:bookmarkEnd w:id="0"/>
          </w:p>
        </w:tc>
        <w:tc>
          <w:tcPr>
            <w:tcW w:w="1441" w:type="dxa"/>
            <w:gridSpan w:val="2"/>
            <w:vMerge w:val="restart"/>
          </w:tcPr>
          <w:p w14:paraId="2C82E07A" w14:textId="77777777" w:rsidR="00250EF6" w:rsidRPr="00D61A77" w:rsidRDefault="00250EF6" w:rsidP="00E65EE2">
            <w:pPr>
              <w:spacing w:before="120"/>
              <w:jc w:val="center"/>
              <w:rPr>
                <w:rFonts w:eastAsia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222" w:type="dxa"/>
            <w:vMerge w:val="restart"/>
          </w:tcPr>
          <w:p w14:paraId="33EA78DF" w14:textId="77777777" w:rsidR="00250EF6" w:rsidRPr="00C23842" w:rsidRDefault="00250EF6" w:rsidP="00916FAD">
            <w:pPr>
              <w:keepNext/>
              <w:spacing w:before="1060" w:line="252" w:lineRule="auto"/>
              <w:jc w:val="center"/>
              <w:outlineLvl w:val="2"/>
              <w:rPr>
                <w:rFonts w:eastAsia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C23842">
              <w:rPr>
                <w:rFonts w:eastAsia="Times New Roman" w:cs="Times New Roman"/>
                <w:b/>
                <w:bCs/>
                <w:sz w:val="28"/>
                <w:szCs w:val="24"/>
                <w:lang w:eastAsia="ru-RU"/>
              </w:rPr>
              <w:t>НАЦИОНАЛЬНЫЙ  БАНК</w:t>
            </w:r>
          </w:p>
          <w:p w14:paraId="452BC09A" w14:textId="77777777" w:rsidR="00250EF6" w:rsidRPr="00C23842" w:rsidRDefault="00250EF6" w:rsidP="00E65EE2">
            <w:pPr>
              <w:keepNext/>
              <w:spacing w:line="252" w:lineRule="auto"/>
              <w:jc w:val="center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C23842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РЕСПУБЛИКИ  БЕЛАРУСЬ</w:t>
            </w:r>
          </w:p>
          <w:p w14:paraId="3A88B9A0" w14:textId="77777777" w:rsidR="00250EF6" w:rsidRPr="005C21B3" w:rsidRDefault="00250EF6" w:rsidP="00D93DCD">
            <w:pPr>
              <w:spacing w:line="280" w:lineRule="exact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C21B3">
              <w:rPr>
                <w:rFonts w:eastAsia="Times New Roman" w:cs="Times New Roman"/>
                <w:sz w:val="22"/>
                <w:szCs w:val="22"/>
                <w:lang w:eastAsia="ru-RU"/>
              </w:rPr>
              <w:t>пр-т Независимости, 20</w:t>
            </w:r>
          </w:p>
          <w:p w14:paraId="2A45F542" w14:textId="77777777" w:rsidR="00250EF6" w:rsidRPr="00AE6DE7" w:rsidRDefault="00250EF6" w:rsidP="00D93DCD">
            <w:pPr>
              <w:spacing w:line="280" w:lineRule="exact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AE6DE7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220008, </w:t>
            </w:r>
            <w:r w:rsidRPr="005C21B3">
              <w:rPr>
                <w:rFonts w:eastAsia="Times New Roman" w:cs="Times New Roman"/>
                <w:sz w:val="22"/>
                <w:szCs w:val="22"/>
                <w:lang w:eastAsia="ru-RU"/>
              </w:rPr>
              <w:t>г</w:t>
            </w:r>
            <w:r w:rsidRPr="00AE6DE7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. </w:t>
            </w:r>
            <w:r w:rsidRPr="005C21B3">
              <w:rPr>
                <w:rFonts w:eastAsia="Times New Roman" w:cs="Times New Roman"/>
                <w:sz w:val="22"/>
                <w:szCs w:val="22"/>
                <w:lang w:eastAsia="ru-RU"/>
              </w:rPr>
              <w:t>Минск</w:t>
            </w:r>
          </w:p>
          <w:p w14:paraId="58DEBF6A" w14:textId="77777777" w:rsidR="00250EF6" w:rsidRPr="00AE6DE7" w:rsidRDefault="00250EF6" w:rsidP="00D93DCD">
            <w:pPr>
              <w:spacing w:line="280" w:lineRule="exact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AE6DE7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5C21B3">
              <w:rPr>
                <w:rFonts w:eastAsia="Times New Roman" w:cs="Times New Roman"/>
                <w:sz w:val="22"/>
                <w:szCs w:val="22"/>
                <w:lang w:eastAsia="ru-RU"/>
              </w:rPr>
              <w:t>тел</w:t>
            </w:r>
            <w:r w:rsidRPr="00AE6DE7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.  </w:t>
            </w:r>
            <w:r w:rsidR="00F76859">
              <w:rPr>
                <w:sz w:val="22"/>
                <w:szCs w:val="22"/>
              </w:rPr>
              <w:t>(+375 17) 375 20 02</w:t>
            </w:r>
            <w:r w:rsidRPr="00AE6DE7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, </w:t>
            </w:r>
            <w:r w:rsidRPr="005C21B3">
              <w:rPr>
                <w:rFonts w:eastAsia="Times New Roman" w:cs="Times New Roman"/>
                <w:sz w:val="22"/>
                <w:szCs w:val="22"/>
                <w:lang w:eastAsia="ru-RU"/>
              </w:rPr>
              <w:t>факс</w:t>
            </w:r>
            <w:r w:rsidRPr="00AE6DE7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327 48 79</w:t>
            </w:r>
          </w:p>
          <w:p w14:paraId="7462288F" w14:textId="77777777" w:rsidR="00250EF6" w:rsidRPr="009B56D6" w:rsidRDefault="00250EF6" w:rsidP="00D93DCD">
            <w:pPr>
              <w:spacing w:line="280" w:lineRule="exact"/>
              <w:jc w:val="center"/>
              <w:rPr>
                <w:rFonts w:eastAsia="Times New Roman" w:cs="Times New Roman"/>
                <w:spacing w:val="-4"/>
                <w:sz w:val="22"/>
                <w:szCs w:val="22"/>
                <w:lang w:eastAsia="ru-RU"/>
              </w:rPr>
            </w:pPr>
            <w:r w:rsidRPr="005C21B3">
              <w:rPr>
                <w:rFonts w:eastAsia="Times New Roman" w:cs="Times New Roman"/>
                <w:spacing w:val="-4"/>
                <w:sz w:val="22"/>
                <w:szCs w:val="22"/>
                <w:lang w:val="en-US" w:eastAsia="ru-RU"/>
              </w:rPr>
              <w:t>www</w:t>
            </w:r>
            <w:r w:rsidRPr="009B56D6">
              <w:rPr>
                <w:rFonts w:eastAsia="Times New Roman" w:cs="Times New Roman"/>
                <w:spacing w:val="-4"/>
                <w:sz w:val="22"/>
                <w:szCs w:val="22"/>
                <w:lang w:eastAsia="ru-RU"/>
              </w:rPr>
              <w:t>.</w:t>
            </w:r>
            <w:r w:rsidRPr="005C21B3">
              <w:rPr>
                <w:rFonts w:eastAsia="Times New Roman" w:cs="Times New Roman"/>
                <w:spacing w:val="-4"/>
                <w:sz w:val="22"/>
                <w:szCs w:val="22"/>
                <w:lang w:val="en-US" w:eastAsia="ru-RU"/>
              </w:rPr>
              <w:t>nbrb</w:t>
            </w:r>
            <w:r w:rsidRPr="009B56D6">
              <w:rPr>
                <w:rFonts w:eastAsia="Times New Roman" w:cs="Times New Roman"/>
                <w:spacing w:val="-4"/>
                <w:sz w:val="22"/>
                <w:szCs w:val="22"/>
                <w:lang w:eastAsia="ru-RU"/>
              </w:rPr>
              <w:t>.</w:t>
            </w:r>
            <w:r w:rsidRPr="005C21B3">
              <w:rPr>
                <w:rFonts w:eastAsia="Times New Roman" w:cs="Times New Roman"/>
                <w:spacing w:val="-4"/>
                <w:sz w:val="22"/>
                <w:szCs w:val="22"/>
                <w:lang w:val="en-US" w:eastAsia="ru-RU"/>
              </w:rPr>
              <w:t>by</w:t>
            </w:r>
            <w:r w:rsidRPr="009B56D6">
              <w:rPr>
                <w:rFonts w:eastAsia="Times New Roman" w:cs="Times New Roman"/>
                <w:spacing w:val="-4"/>
                <w:sz w:val="22"/>
                <w:szCs w:val="22"/>
                <w:lang w:eastAsia="ru-RU"/>
              </w:rPr>
              <w:t xml:space="preserve">,  </w:t>
            </w:r>
            <w:r w:rsidRPr="005C21B3">
              <w:rPr>
                <w:rFonts w:eastAsia="Times New Roman" w:cs="Times New Roman"/>
                <w:spacing w:val="-4"/>
                <w:sz w:val="22"/>
                <w:szCs w:val="22"/>
                <w:lang w:eastAsia="ru-RU"/>
              </w:rPr>
              <w:t>е</w:t>
            </w:r>
            <w:r w:rsidRPr="009B56D6">
              <w:rPr>
                <w:rFonts w:eastAsia="Times New Roman" w:cs="Times New Roman"/>
                <w:spacing w:val="-4"/>
                <w:sz w:val="22"/>
                <w:szCs w:val="22"/>
                <w:lang w:eastAsia="ru-RU"/>
              </w:rPr>
              <w:t>-</w:t>
            </w:r>
            <w:r w:rsidRPr="005C21B3">
              <w:rPr>
                <w:rFonts w:eastAsia="Times New Roman" w:cs="Times New Roman"/>
                <w:spacing w:val="-4"/>
                <w:sz w:val="22"/>
                <w:szCs w:val="22"/>
                <w:lang w:val="en-US" w:eastAsia="ru-RU"/>
              </w:rPr>
              <w:t>mail</w:t>
            </w:r>
            <w:r w:rsidRPr="009B56D6">
              <w:rPr>
                <w:rFonts w:eastAsia="Times New Roman" w:cs="Times New Roman"/>
                <w:spacing w:val="-4"/>
                <w:sz w:val="22"/>
                <w:szCs w:val="22"/>
                <w:lang w:eastAsia="ru-RU"/>
              </w:rPr>
              <w:t xml:space="preserve">: </w:t>
            </w:r>
            <w:hyperlink r:id="rId7" w:history="1">
              <w:r w:rsidR="00916FAD" w:rsidRPr="00916FAD">
                <w:rPr>
                  <w:rStyle w:val="ac"/>
                  <w:rFonts w:eastAsia="Times New Roman" w:cs="Times New Roman"/>
                  <w:color w:val="auto"/>
                  <w:spacing w:val="-4"/>
                  <w:sz w:val="22"/>
                  <w:szCs w:val="22"/>
                  <w:u w:val="none"/>
                  <w:lang w:val="en-US" w:eastAsia="ru-RU"/>
                </w:rPr>
                <w:t>email</w:t>
              </w:r>
              <w:r w:rsidR="00916FAD" w:rsidRPr="009B56D6">
                <w:rPr>
                  <w:rStyle w:val="ac"/>
                  <w:rFonts w:eastAsia="Times New Roman" w:cs="Times New Roman"/>
                  <w:color w:val="auto"/>
                  <w:spacing w:val="-4"/>
                  <w:sz w:val="22"/>
                  <w:szCs w:val="22"/>
                  <w:u w:val="none"/>
                  <w:lang w:eastAsia="ru-RU"/>
                </w:rPr>
                <w:t>@</w:t>
              </w:r>
              <w:r w:rsidR="00916FAD" w:rsidRPr="00916FAD">
                <w:rPr>
                  <w:rStyle w:val="ac"/>
                  <w:rFonts w:eastAsia="Times New Roman" w:cs="Times New Roman"/>
                  <w:color w:val="auto"/>
                  <w:spacing w:val="-4"/>
                  <w:sz w:val="22"/>
                  <w:szCs w:val="22"/>
                  <w:u w:val="none"/>
                  <w:lang w:val="en-US" w:eastAsia="ru-RU"/>
                </w:rPr>
                <w:t>nbrb</w:t>
              </w:r>
              <w:r w:rsidR="00916FAD" w:rsidRPr="009B56D6">
                <w:rPr>
                  <w:rStyle w:val="ac"/>
                  <w:rFonts w:eastAsia="Times New Roman" w:cs="Times New Roman"/>
                  <w:color w:val="auto"/>
                  <w:spacing w:val="-4"/>
                  <w:sz w:val="22"/>
                  <w:szCs w:val="22"/>
                  <w:u w:val="none"/>
                  <w:lang w:eastAsia="ru-RU"/>
                </w:rPr>
                <w:t>.</w:t>
              </w:r>
              <w:r w:rsidR="00916FAD" w:rsidRPr="00916FAD">
                <w:rPr>
                  <w:rStyle w:val="ac"/>
                  <w:rFonts w:eastAsia="Times New Roman" w:cs="Times New Roman"/>
                  <w:color w:val="auto"/>
                  <w:spacing w:val="-4"/>
                  <w:sz w:val="22"/>
                  <w:szCs w:val="22"/>
                  <w:u w:val="none"/>
                  <w:lang w:val="en-US" w:eastAsia="ru-RU"/>
                </w:rPr>
                <w:t>by</w:t>
              </w:r>
            </w:hyperlink>
          </w:p>
          <w:p w14:paraId="74BAFB18" w14:textId="77777777" w:rsidR="00916FAD" w:rsidRPr="009B56D6" w:rsidRDefault="00916FAD" w:rsidP="00D93DCD">
            <w:pPr>
              <w:spacing w:line="280" w:lineRule="exact"/>
              <w:jc w:val="center"/>
              <w:rPr>
                <w:rFonts w:eastAsia="Times New Roman" w:cs="Times New Roman"/>
                <w:sz w:val="8"/>
                <w:szCs w:val="8"/>
                <w:lang w:eastAsia="ru-RU"/>
              </w:rPr>
            </w:pPr>
          </w:p>
        </w:tc>
      </w:tr>
      <w:tr w:rsidR="00250EF6" w:rsidRPr="00103757" w14:paraId="1496EAAA" w14:textId="77777777" w:rsidTr="00544AAC">
        <w:trPr>
          <w:trHeight w:val="1695"/>
        </w:trPr>
        <w:tc>
          <w:tcPr>
            <w:tcW w:w="4200" w:type="dxa"/>
          </w:tcPr>
          <w:sdt>
            <w:sdtPr>
              <w:rPr>
                <w:rFonts w:eastAsia="Times New Roman" w:cs="Times New Roman"/>
                <w:b/>
                <w:color w:val="0000FF" w:themeColor="hyperlink"/>
                <w:sz w:val="28"/>
                <w:szCs w:val="24"/>
                <w:u w:val="single"/>
                <w:lang w:eastAsia="ru-RU"/>
              </w:rPr>
              <w:id w:val="880719468"/>
              <w:placeholder>
                <w:docPart w:val="DefaultPlaceholder_22675703"/>
              </w:placeholder>
            </w:sdtPr>
            <w:sdtEndPr/>
            <w:sdtContent>
              <w:p w14:paraId="5C9DC939" w14:textId="77777777" w:rsidR="00250EF6" w:rsidRPr="00E6247E" w:rsidRDefault="00250EF6" w:rsidP="00250EF6">
                <w:pPr>
                  <w:keepNext/>
                  <w:jc w:val="center"/>
                  <w:outlineLvl w:val="2"/>
                  <w:rPr>
                    <w:rFonts w:eastAsia="Times New Roman" w:cs="Times New Roman"/>
                    <w:b/>
                    <w:sz w:val="28"/>
                    <w:szCs w:val="24"/>
                    <w:lang w:eastAsia="ru-RU"/>
                  </w:rPr>
                </w:pPr>
                <w:r w:rsidRPr="00C23842">
                  <w:rPr>
                    <w:rFonts w:eastAsia="Times New Roman" w:cs="Times New Roman"/>
                    <w:b/>
                    <w:sz w:val="28"/>
                    <w:szCs w:val="24"/>
                    <w:lang w:eastAsia="ru-RU"/>
                  </w:rPr>
                  <w:t>НАЦЫЯНАЛЬНЫ  БАНК</w:t>
                </w:r>
              </w:p>
              <w:p w14:paraId="2C3D7982" w14:textId="77777777" w:rsidR="00250EF6" w:rsidRPr="00C23842" w:rsidRDefault="00250EF6" w:rsidP="00250EF6">
                <w:pPr>
                  <w:keepNext/>
                  <w:spacing w:line="252" w:lineRule="auto"/>
                  <w:jc w:val="center"/>
                  <w:outlineLvl w:val="0"/>
                  <w:rPr>
                    <w:rFonts w:eastAsia="Times New Roman" w:cs="Times New Roman"/>
                    <w:b/>
                    <w:sz w:val="28"/>
                    <w:szCs w:val="24"/>
                    <w:lang w:eastAsia="ru-RU"/>
                  </w:rPr>
                </w:pPr>
                <w:r w:rsidRPr="00C23842">
                  <w:rPr>
                    <w:rFonts w:eastAsia="Times New Roman" w:cs="Times New Roman"/>
                    <w:b/>
                    <w:sz w:val="28"/>
                    <w:szCs w:val="24"/>
                    <w:lang w:eastAsia="ru-RU"/>
                  </w:rPr>
                  <w:t>РЭСПУБЛIКI  БЕЛАРУСЬ</w:t>
                </w:r>
              </w:p>
              <w:p w14:paraId="4D6B35FC" w14:textId="77777777" w:rsidR="00250EF6" w:rsidRPr="005C21B3" w:rsidRDefault="00250EF6" w:rsidP="00916FAD">
                <w:pPr>
                  <w:spacing w:line="280" w:lineRule="exact"/>
                  <w:jc w:val="center"/>
                  <w:rPr>
                    <w:rFonts w:eastAsia="Times New Roman" w:cs="Times New Roman"/>
                    <w:sz w:val="22"/>
                    <w:szCs w:val="22"/>
                    <w:lang w:eastAsia="ru-RU"/>
                  </w:rPr>
                </w:pPr>
                <w:r w:rsidRPr="005C21B3">
                  <w:rPr>
                    <w:rFonts w:eastAsia="Times New Roman" w:cs="Times New Roman"/>
                    <w:sz w:val="22"/>
                    <w:szCs w:val="22"/>
                    <w:lang w:eastAsia="ru-RU"/>
                  </w:rPr>
                  <w:t>пр-т Незалежнасц</w:t>
                </w:r>
                <w:r w:rsidRPr="005C21B3">
                  <w:rPr>
                    <w:rFonts w:eastAsia="Times New Roman" w:cs="Times New Roman"/>
                    <w:sz w:val="22"/>
                    <w:szCs w:val="22"/>
                    <w:lang w:val="be-BY" w:eastAsia="ru-RU"/>
                  </w:rPr>
                  <w:t>і</w:t>
                </w:r>
                <w:r w:rsidRPr="005C21B3">
                  <w:rPr>
                    <w:rFonts w:eastAsia="Times New Roman" w:cs="Times New Roman"/>
                    <w:sz w:val="22"/>
                    <w:szCs w:val="22"/>
                    <w:lang w:eastAsia="ru-RU"/>
                  </w:rPr>
                  <w:t>, 20</w:t>
                </w:r>
              </w:p>
              <w:p w14:paraId="2502E282" w14:textId="77777777" w:rsidR="00250EF6" w:rsidRPr="00F76859" w:rsidRDefault="00250EF6" w:rsidP="00916FAD">
                <w:pPr>
                  <w:spacing w:line="280" w:lineRule="exact"/>
                  <w:jc w:val="center"/>
                  <w:rPr>
                    <w:rFonts w:eastAsia="Times New Roman" w:cs="Times New Roman"/>
                    <w:sz w:val="22"/>
                    <w:szCs w:val="22"/>
                    <w:lang w:eastAsia="ru-RU"/>
                  </w:rPr>
                </w:pPr>
                <w:r w:rsidRPr="00F76859">
                  <w:rPr>
                    <w:rFonts w:eastAsia="Times New Roman" w:cs="Times New Roman"/>
                    <w:sz w:val="22"/>
                    <w:szCs w:val="22"/>
                    <w:lang w:eastAsia="ru-RU"/>
                  </w:rPr>
                  <w:t xml:space="preserve">220008, </w:t>
                </w:r>
                <w:r w:rsidRPr="005C21B3">
                  <w:rPr>
                    <w:rFonts w:eastAsia="Times New Roman" w:cs="Times New Roman"/>
                    <w:sz w:val="22"/>
                    <w:szCs w:val="22"/>
                    <w:lang w:eastAsia="ru-RU"/>
                  </w:rPr>
                  <w:t>г</w:t>
                </w:r>
                <w:r w:rsidRPr="00F76859">
                  <w:rPr>
                    <w:rFonts w:eastAsia="Times New Roman" w:cs="Times New Roman"/>
                    <w:sz w:val="22"/>
                    <w:szCs w:val="22"/>
                    <w:lang w:eastAsia="ru-RU"/>
                  </w:rPr>
                  <w:t xml:space="preserve">. </w:t>
                </w:r>
                <w:r w:rsidRPr="005C21B3">
                  <w:rPr>
                    <w:rFonts w:eastAsia="Times New Roman" w:cs="Times New Roman"/>
                    <w:sz w:val="22"/>
                    <w:szCs w:val="22"/>
                    <w:lang w:eastAsia="ru-RU"/>
                  </w:rPr>
                  <w:t>М</w:t>
                </w:r>
                <w:r w:rsidRPr="005C21B3">
                  <w:rPr>
                    <w:rFonts w:eastAsia="Times New Roman" w:cs="Times New Roman"/>
                    <w:sz w:val="22"/>
                    <w:szCs w:val="22"/>
                    <w:lang w:val="en-US" w:eastAsia="ru-RU"/>
                  </w:rPr>
                  <w:t>i</w:t>
                </w:r>
                <w:r w:rsidRPr="005C21B3">
                  <w:rPr>
                    <w:rFonts w:eastAsia="Times New Roman" w:cs="Times New Roman"/>
                    <w:sz w:val="22"/>
                    <w:szCs w:val="22"/>
                    <w:lang w:eastAsia="ru-RU"/>
                  </w:rPr>
                  <w:t>нск</w:t>
                </w:r>
              </w:p>
              <w:p w14:paraId="7AB86685" w14:textId="77777777" w:rsidR="00250EF6" w:rsidRPr="00F76859" w:rsidRDefault="00250EF6" w:rsidP="00916FAD">
                <w:pPr>
                  <w:keepNext/>
                  <w:spacing w:line="280" w:lineRule="exact"/>
                  <w:jc w:val="center"/>
                  <w:outlineLvl w:val="2"/>
                  <w:rPr>
                    <w:rFonts w:eastAsia="Times New Roman" w:cs="Times New Roman"/>
                    <w:sz w:val="22"/>
                    <w:szCs w:val="22"/>
                    <w:lang w:eastAsia="ru-RU"/>
                  </w:rPr>
                </w:pPr>
                <w:r w:rsidRPr="005C21B3">
                  <w:rPr>
                    <w:rFonts w:eastAsia="Times New Roman" w:cs="Times New Roman"/>
                    <w:sz w:val="22"/>
                    <w:szCs w:val="22"/>
                    <w:lang w:eastAsia="ru-RU"/>
                  </w:rPr>
                  <w:t>тэл</w:t>
                </w:r>
                <w:r w:rsidRPr="00F76859">
                  <w:rPr>
                    <w:rFonts w:eastAsia="Times New Roman" w:cs="Times New Roman"/>
                    <w:sz w:val="22"/>
                    <w:szCs w:val="22"/>
                    <w:lang w:eastAsia="ru-RU"/>
                  </w:rPr>
                  <w:t xml:space="preserve">.  </w:t>
                </w:r>
                <w:r w:rsidR="00F76859">
                  <w:rPr>
                    <w:sz w:val="22"/>
                    <w:szCs w:val="22"/>
                  </w:rPr>
                  <w:t>(+375 17) 375 20 02</w:t>
                </w:r>
                <w:r w:rsidRPr="00F76859">
                  <w:rPr>
                    <w:rFonts w:eastAsia="Times New Roman" w:cs="Times New Roman"/>
                    <w:sz w:val="22"/>
                    <w:szCs w:val="22"/>
                    <w:lang w:eastAsia="ru-RU"/>
                  </w:rPr>
                  <w:t xml:space="preserve">, </w:t>
                </w:r>
                <w:r w:rsidRPr="005C21B3">
                  <w:rPr>
                    <w:rFonts w:eastAsia="Times New Roman" w:cs="Times New Roman"/>
                    <w:sz w:val="22"/>
                    <w:szCs w:val="22"/>
                    <w:lang w:eastAsia="ru-RU"/>
                  </w:rPr>
                  <w:t>факс</w:t>
                </w:r>
                <w:r w:rsidRPr="00F76859">
                  <w:rPr>
                    <w:rFonts w:eastAsia="Times New Roman" w:cs="Times New Roman"/>
                    <w:sz w:val="22"/>
                    <w:szCs w:val="22"/>
                    <w:lang w:eastAsia="ru-RU"/>
                  </w:rPr>
                  <w:t xml:space="preserve"> 327 48 79</w:t>
                </w:r>
              </w:p>
              <w:p w14:paraId="0F41FF98" w14:textId="77777777" w:rsidR="00250EF6" w:rsidRPr="009B56D6" w:rsidRDefault="00250EF6" w:rsidP="00916FAD">
                <w:pPr>
                  <w:keepNext/>
                  <w:spacing w:line="280" w:lineRule="exact"/>
                  <w:jc w:val="center"/>
                  <w:outlineLvl w:val="2"/>
                  <w:rPr>
                    <w:rFonts w:eastAsia="Times New Roman" w:cs="Times New Roman"/>
                    <w:b/>
                    <w:sz w:val="28"/>
                    <w:szCs w:val="24"/>
                    <w:lang w:eastAsia="ru-RU"/>
                  </w:rPr>
                </w:pPr>
                <w:r w:rsidRPr="005C21B3">
                  <w:rPr>
                    <w:rFonts w:eastAsia="Times New Roman" w:cs="Times New Roman"/>
                    <w:spacing w:val="-4"/>
                    <w:sz w:val="22"/>
                    <w:szCs w:val="22"/>
                    <w:lang w:val="en-US" w:eastAsia="ru-RU"/>
                  </w:rPr>
                  <w:t>www</w:t>
                </w:r>
                <w:r w:rsidRPr="009B56D6">
                  <w:rPr>
                    <w:rFonts w:eastAsia="Times New Roman" w:cs="Times New Roman"/>
                    <w:spacing w:val="-4"/>
                    <w:sz w:val="22"/>
                    <w:szCs w:val="22"/>
                    <w:lang w:eastAsia="ru-RU"/>
                  </w:rPr>
                  <w:t>.</w:t>
                </w:r>
                <w:r w:rsidRPr="005C21B3">
                  <w:rPr>
                    <w:rFonts w:eastAsia="Times New Roman" w:cs="Times New Roman"/>
                    <w:spacing w:val="-4"/>
                    <w:sz w:val="22"/>
                    <w:szCs w:val="22"/>
                    <w:lang w:val="en-US" w:eastAsia="ru-RU"/>
                  </w:rPr>
                  <w:t>nbrb</w:t>
                </w:r>
                <w:r w:rsidRPr="009B56D6">
                  <w:rPr>
                    <w:rFonts w:eastAsia="Times New Roman" w:cs="Times New Roman"/>
                    <w:spacing w:val="-4"/>
                    <w:sz w:val="22"/>
                    <w:szCs w:val="22"/>
                    <w:lang w:eastAsia="ru-RU"/>
                  </w:rPr>
                  <w:t>.</w:t>
                </w:r>
                <w:r w:rsidRPr="005C21B3">
                  <w:rPr>
                    <w:rFonts w:eastAsia="Times New Roman" w:cs="Times New Roman"/>
                    <w:spacing w:val="-4"/>
                    <w:sz w:val="22"/>
                    <w:szCs w:val="22"/>
                    <w:lang w:val="en-US" w:eastAsia="ru-RU"/>
                  </w:rPr>
                  <w:t>by</w:t>
                </w:r>
                <w:r w:rsidRPr="009B56D6">
                  <w:rPr>
                    <w:rFonts w:eastAsia="Times New Roman" w:cs="Times New Roman"/>
                    <w:spacing w:val="-4"/>
                    <w:sz w:val="22"/>
                    <w:szCs w:val="22"/>
                    <w:lang w:eastAsia="ru-RU"/>
                  </w:rPr>
                  <w:t xml:space="preserve">,  </w:t>
                </w:r>
                <w:r w:rsidRPr="005C21B3">
                  <w:rPr>
                    <w:rFonts w:eastAsia="Times New Roman" w:cs="Times New Roman"/>
                    <w:spacing w:val="-4"/>
                    <w:sz w:val="22"/>
                    <w:szCs w:val="22"/>
                    <w:lang w:eastAsia="ru-RU"/>
                  </w:rPr>
                  <w:t>е</w:t>
                </w:r>
                <w:r w:rsidRPr="009B56D6">
                  <w:rPr>
                    <w:rFonts w:eastAsia="Times New Roman" w:cs="Times New Roman"/>
                    <w:spacing w:val="-4"/>
                    <w:sz w:val="22"/>
                    <w:szCs w:val="22"/>
                    <w:lang w:eastAsia="ru-RU"/>
                  </w:rPr>
                  <w:t>-</w:t>
                </w:r>
                <w:r w:rsidRPr="005C21B3">
                  <w:rPr>
                    <w:rFonts w:eastAsia="Times New Roman" w:cs="Times New Roman"/>
                    <w:spacing w:val="-4"/>
                    <w:sz w:val="22"/>
                    <w:szCs w:val="22"/>
                    <w:lang w:val="en-US" w:eastAsia="ru-RU"/>
                  </w:rPr>
                  <w:t>mail</w:t>
                </w:r>
                <w:r w:rsidRPr="009B56D6">
                  <w:rPr>
                    <w:rFonts w:eastAsia="Times New Roman" w:cs="Times New Roman"/>
                    <w:spacing w:val="-4"/>
                    <w:sz w:val="22"/>
                    <w:szCs w:val="22"/>
                    <w:lang w:eastAsia="ru-RU"/>
                  </w:rPr>
                  <w:t xml:space="preserve">: </w:t>
                </w:r>
                <w:r w:rsidRPr="005C21B3">
                  <w:rPr>
                    <w:rFonts w:eastAsia="Times New Roman" w:cs="Times New Roman"/>
                    <w:spacing w:val="-4"/>
                    <w:sz w:val="22"/>
                    <w:szCs w:val="22"/>
                    <w:lang w:val="en-US" w:eastAsia="ru-RU"/>
                  </w:rPr>
                  <w:t>email</w:t>
                </w:r>
                <w:r w:rsidRPr="009B56D6">
                  <w:rPr>
                    <w:rFonts w:eastAsia="Times New Roman" w:cs="Times New Roman"/>
                    <w:spacing w:val="-4"/>
                    <w:sz w:val="22"/>
                    <w:szCs w:val="22"/>
                    <w:lang w:eastAsia="ru-RU"/>
                  </w:rPr>
                  <w:t>@</w:t>
                </w:r>
                <w:r w:rsidRPr="005C21B3">
                  <w:rPr>
                    <w:rFonts w:eastAsia="Times New Roman" w:cs="Times New Roman"/>
                    <w:spacing w:val="-4"/>
                    <w:sz w:val="22"/>
                    <w:szCs w:val="22"/>
                    <w:lang w:val="en-US" w:eastAsia="ru-RU"/>
                  </w:rPr>
                  <w:t>nbrb</w:t>
                </w:r>
                <w:r w:rsidRPr="009B56D6">
                  <w:rPr>
                    <w:rFonts w:eastAsia="Times New Roman" w:cs="Times New Roman"/>
                    <w:spacing w:val="-4"/>
                    <w:sz w:val="22"/>
                    <w:szCs w:val="22"/>
                    <w:lang w:eastAsia="ru-RU"/>
                  </w:rPr>
                  <w:t>.</w:t>
                </w:r>
                <w:r w:rsidRPr="005C21B3">
                  <w:rPr>
                    <w:rFonts w:eastAsia="Times New Roman" w:cs="Times New Roman"/>
                    <w:spacing w:val="-4"/>
                    <w:sz w:val="22"/>
                    <w:szCs w:val="22"/>
                    <w:lang w:val="en-US" w:eastAsia="ru-RU"/>
                  </w:rPr>
                  <w:t>by</w:t>
                </w:r>
              </w:p>
            </w:sdtContent>
          </w:sdt>
        </w:tc>
        <w:tc>
          <w:tcPr>
            <w:tcW w:w="1441" w:type="dxa"/>
            <w:gridSpan w:val="2"/>
            <w:vMerge/>
          </w:tcPr>
          <w:p w14:paraId="71F726AF" w14:textId="77777777" w:rsidR="00250EF6" w:rsidRPr="009B56D6" w:rsidRDefault="00250EF6" w:rsidP="00E65EE2">
            <w:pPr>
              <w:spacing w:before="120"/>
              <w:jc w:val="center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22" w:type="dxa"/>
            <w:vMerge/>
          </w:tcPr>
          <w:p w14:paraId="3193F7D1" w14:textId="77777777" w:rsidR="00250EF6" w:rsidRPr="009B56D6" w:rsidRDefault="00250EF6" w:rsidP="00E65EE2">
            <w:pPr>
              <w:keepNext/>
              <w:spacing w:before="1040" w:line="252" w:lineRule="auto"/>
              <w:jc w:val="center"/>
              <w:outlineLvl w:val="2"/>
              <w:rPr>
                <w:rFonts w:eastAsia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B317AB" w:rsidRPr="00C23842" w14:paraId="198E2FC6" w14:textId="77777777" w:rsidTr="00544AAC">
        <w:tc>
          <w:tcPr>
            <w:tcW w:w="4200" w:type="dxa"/>
          </w:tcPr>
          <w:p w14:paraId="7CB53826" w14:textId="77777777" w:rsidR="00B317AB" w:rsidRPr="000D729E" w:rsidRDefault="00236B82" w:rsidP="00831170">
            <w:pPr>
              <w:pStyle w:val="11"/>
              <w:framePr w:hSpace="0" w:wrap="auto" w:hAnchor="text" w:yAlign="inline"/>
              <w:spacing w:line="280" w:lineRule="exact"/>
              <w:jc w:val="left"/>
              <w:rPr>
                <w:rFonts w:eastAsia="Calibri"/>
                <w:szCs w:val="30"/>
                <w:lang w:val="ru-RU"/>
              </w:rPr>
            </w:pPr>
            <w:sdt>
              <w:sdtPr>
                <w:rPr>
                  <w:rFonts w:eastAsia="Calibri"/>
                  <w:szCs w:val="30"/>
                </w:rPr>
                <w:alias w:val="Регистрационная дата"/>
                <w:tag w:val="RegDate"/>
                <w:id w:val="9098563"/>
                <w:lock w:val="sdtContentLocked"/>
                <w:placeholder>
                  <w:docPart w:val="059C4A22B23240BD9D26361A0F7FDA9E"/>
                </w:placeholder>
                <w:showingPlcHdr/>
              </w:sdtPr>
              <w:sdtEndPr/>
              <w:sdtContent>
                <w:r w:rsidR="006C090F">
                  <w:rPr>
                    <w:rFonts w:eastAsia="Calibri"/>
                    <w:szCs w:val="30"/>
                    <w:lang w:val="ru-RU"/>
                  </w:rPr>
                  <w:t xml:space="preserve"> </w:t>
                </w:r>
              </w:sdtContent>
            </w:sdt>
            <w:r w:rsidR="00B317AB" w:rsidRPr="000D729E">
              <w:rPr>
                <w:rFonts w:eastAsia="Calibri"/>
                <w:szCs w:val="30"/>
                <w:lang w:val="ru-RU"/>
              </w:rPr>
              <w:t xml:space="preserve"> </w:t>
            </w:r>
            <w:r w:rsidR="00B317AB" w:rsidRPr="000D729E">
              <w:rPr>
                <w:szCs w:val="30"/>
                <w:lang w:val="ru-RU"/>
              </w:rPr>
              <w:t xml:space="preserve">№ </w:t>
            </w:r>
            <w:sdt>
              <w:sdtPr>
                <w:rPr>
                  <w:szCs w:val="30"/>
                </w:rPr>
                <w:alias w:val="Регистрационный номер"/>
                <w:tag w:val="RegN"/>
                <w:id w:val="23066992"/>
                <w:lock w:val="sdtLocked"/>
                <w:placeholder>
                  <w:docPart w:val="6288EA57E8BB4011B52E5B6B5D91EDCB"/>
                </w:placeholder>
              </w:sdtPr>
              <w:sdtEndPr/>
              <w:sdtContent>
                <w:r w:rsidR="007F0CE9">
                  <w:rPr>
                    <w:szCs w:val="30"/>
                    <w:lang w:val="ru-RU"/>
                  </w:rPr>
                  <w:t xml:space="preserve"> </w:t>
                </w:r>
                <w:r w:rsidR="00BD73B8">
                  <w:rPr>
                    <w:szCs w:val="30"/>
                    <w:lang w:val="ru-RU"/>
                  </w:rPr>
                  <w:t>03-15</w:t>
                </w:r>
              </w:sdtContent>
            </w:sdt>
          </w:p>
        </w:tc>
        <w:tc>
          <w:tcPr>
            <w:tcW w:w="1441" w:type="dxa"/>
            <w:gridSpan w:val="2"/>
          </w:tcPr>
          <w:p w14:paraId="4F37F314" w14:textId="77777777" w:rsidR="00B317AB" w:rsidRPr="00C23842" w:rsidRDefault="00B317AB" w:rsidP="00E65EE2">
            <w:pPr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22" w:type="dxa"/>
          </w:tcPr>
          <w:p w14:paraId="3075280C" w14:textId="77777777" w:rsidR="00B317AB" w:rsidRPr="00C23842" w:rsidRDefault="00B317AB" w:rsidP="00E65EE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85F0F" w:rsidRPr="00C23842" w14:paraId="6515F5D3" w14:textId="77777777" w:rsidTr="00544AAC">
        <w:trPr>
          <w:trHeight w:val="223"/>
        </w:trPr>
        <w:tc>
          <w:tcPr>
            <w:tcW w:w="4200" w:type="dxa"/>
            <w:vMerge w:val="restart"/>
          </w:tcPr>
          <w:p w14:paraId="7ECB897B" w14:textId="77777777" w:rsidR="00B85F0F" w:rsidRPr="000D729E" w:rsidRDefault="00B85F0F" w:rsidP="00DA0C33">
            <w:pPr>
              <w:pStyle w:val="11"/>
              <w:framePr w:hSpace="0" w:wrap="auto" w:hAnchor="text" w:yAlign="inline"/>
              <w:spacing w:line="280" w:lineRule="exact"/>
              <w:jc w:val="left"/>
              <w:rPr>
                <w:szCs w:val="30"/>
                <w:lang w:val="ru-RU"/>
              </w:rPr>
            </w:pPr>
          </w:p>
        </w:tc>
        <w:tc>
          <w:tcPr>
            <w:tcW w:w="490" w:type="dxa"/>
            <w:vMerge w:val="restart"/>
          </w:tcPr>
          <w:p w14:paraId="6166299E" w14:textId="77777777" w:rsidR="00B85F0F" w:rsidRPr="00C23842" w:rsidRDefault="00B85F0F" w:rsidP="00E65EE2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173" w:type="dxa"/>
            <w:gridSpan w:val="2"/>
          </w:tcPr>
          <w:p w14:paraId="27578F02" w14:textId="77777777" w:rsidR="00B85F0F" w:rsidRPr="00585462" w:rsidRDefault="00B85F0F" w:rsidP="00B85F0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85F0F" w:rsidRPr="00C23842" w14:paraId="789E51BD" w14:textId="77777777" w:rsidTr="00544AAC">
        <w:trPr>
          <w:trHeight w:val="907"/>
        </w:trPr>
        <w:tc>
          <w:tcPr>
            <w:tcW w:w="4200" w:type="dxa"/>
            <w:vMerge/>
          </w:tcPr>
          <w:p w14:paraId="16847F0A" w14:textId="77777777" w:rsidR="00B85F0F" w:rsidRPr="000D729E" w:rsidRDefault="00B85F0F" w:rsidP="0031693D">
            <w:pPr>
              <w:pStyle w:val="11"/>
              <w:framePr w:hSpace="0" w:wrap="auto" w:hAnchor="text" w:yAlign="inline"/>
              <w:spacing w:line="280" w:lineRule="exact"/>
              <w:jc w:val="left"/>
              <w:rPr>
                <w:szCs w:val="30"/>
                <w:lang w:val="ru-RU"/>
              </w:rPr>
            </w:pPr>
          </w:p>
        </w:tc>
        <w:tc>
          <w:tcPr>
            <w:tcW w:w="490" w:type="dxa"/>
            <w:vMerge/>
          </w:tcPr>
          <w:p w14:paraId="740A5EDF" w14:textId="77777777" w:rsidR="00B85F0F" w:rsidRPr="00C23842" w:rsidRDefault="00B85F0F" w:rsidP="00E65EE2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173" w:type="dxa"/>
            <w:gridSpan w:val="2"/>
          </w:tcPr>
          <w:sdt>
            <w:sdtPr>
              <w:rPr>
                <w:rFonts w:eastAsia="Times New Roman" w:cs="Times New Roman"/>
                <w:szCs w:val="24"/>
                <w:lang w:eastAsia="ru-RU"/>
              </w:rPr>
              <w:alias w:val="Полное наименование получателя"/>
              <w:tag w:val="OutSenders(fullName&lt;NL&gt;person&lt;NL&gt;email&lt;NL&gt;phone&lt;NL&gt;)"/>
              <w:id w:val="21853451"/>
              <w:lock w:val="sdtLocked"/>
              <w:placeholder>
                <w:docPart w:val="1E45FE0A3B8E4A778E654520AD6C9522"/>
              </w:placeholder>
            </w:sdtPr>
            <w:sdtEndPr/>
            <w:sdtContent>
              <w:p w14:paraId="4CE692B6" w14:textId="77777777" w:rsidR="00BD73B8" w:rsidRDefault="00BD73B8" w:rsidP="00BD73B8">
                <w:pPr>
                  <w:spacing w:line="280" w:lineRule="exact"/>
                  <w:rPr>
                    <w:rFonts w:eastAsia="Times New Roman" w:cs="Times New Roman"/>
                    <w:szCs w:val="24"/>
                    <w:lang w:eastAsia="ru-RU"/>
                  </w:rPr>
                </w:pPr>
                <w:r w:rsidRPr="00BD73B8">
                  <w:rPr>
                    <w:rFonts w:eastAsia="Times New Roman" w:cs="Times New Roman"/>
                    <w:szCs w:val="24"/>
                    <w:lang w:eastAsia="ru-RU"/>
                  </w:rPr>
                  <w:t>Банки и небанковские кредитно-финансовые организации</w:t>
                </w:r>
              </w:p>
              <w:p w14:paraId="44973A24" w14:textId="77777777" w:rsidR="006E3C15" w:rsidRDefault="00BD73B8" w:rsidP="00BD73B8">
                <w:pPr>
                  <w:spacing w:line="280" w:lineRule="exact"/>
                  <w:rPr>
                    <w:rFonts w:eastAsia="Times New Roman" w:cs="Times New Roman"/>
                    <w:szCs w:val="24"/>
                    <w:lang w:eastAsia="ru-RU"/>
                  </w:rPr>
                </w:pPr>
                <w:r w:rsidRPr="00BD73B8">
                  <w:rPr>
                    <w:rFonts w:eastAsia="Times New Roman" w:cs="Times New Roman"/>
                    <w:szCs w:val="24"/>
                    <w:lang w:eastAsia="ru-RU"/>
                  </w:rPr>
                  <w:t>(по списку)</w:t>
                </w:r>
              </w:p>
            </w:sdtContent>
          </w:sdt>
        </w:tc>
      </w:tr>
    </w:tbl>
    <w:p w14:paraId="6CB2B79E" w14:textId="77777777" w:rsidR="001B24AC" w:rsidRPr="00FD14E9" w:rsidRDefault="001B24AC" w:rsidP="001B24AC">
      <w:pPr>
        <w:spacing w:line="36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Style w:val="ad"/>
        <w:tblW w:w="12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7586"/>
      </w:tblGrid>
      <w:tr w:rsidR="006C090F" w:rsidRPr="0001266C" w14:paraId="1E357660" w14:textId="77777777" w:rsidTr="00BD73B8">
        <w:tc>
          <w:tcPr>
            <w:tcW w:w="4678" w:type="dxa"/>
          </w:tcPr>
          <w:p w14:paraId="1F3B2143" w14:textId="77777777" w:rsidR="006C090F" w:rsidRPr="00FD14E9" w:rsidRDefault="00236B82" w:rsidP="0046700F">
            <w:pPr>
              <w:tabs>
                <w:tab w:val="left" w:pos="720"/>
                <w:tab w:val="center" w:pos="4677"/>
                <w:tab w:val="right" w:pos="9355"/>
              </w:tabs>
              <w:spacing w:line="280" w:lineRule="exact"/>
              <w:contextualSpacing/>
              <w:jc w:val="both"/>
            </w:pPr>
            <w:sdt>
              <w:sdtPr>
                <w:rPr>
                  <w:rFonts w:eastAsia="Calibri" w:cs="Times New Roman"/>
                </w:rPr>
                <w:alias w:val="Краткое содержание"/>
                <w:tag w:val="ic_Contents"/>
                <w:id w:val="880719394"/>
                <w:lock w:val="sdtLocked"/>
                <w:placeholder>
                  <w:docPart w:val="30B03B69411A4A9790E11367CB975D2D"/>
                </w:placeholder>
              </w:sdtPr>
              <w:sdtEndPr/>
              <w:sdtContent>
                <w:r w:rsidR="00BD73B8" w:rsidRPr="00BD73B8">
                  <w:rPr>
                    <w:rFonts w:eastAsia="Calibri" w:cs="Times New Roman"/>
                  </w:rPr>
                  <w:t xml:space="preserve">О применении Кодификатора назначения платежа в Республике Беларусь и </w:t>
                </w:r>
                <w:r w:rsidR="00BD73B8" w:rsidRPr="00164D6A">
                  <w:rPr>
                    <w:rFonts w:eastAsia="Calibri" w:cs="Times New Roman"/>
                  </w:rPr>
                  <w:t>формировании платежных инструкций клиента</w:t>
                </w:r>
              </w:sdtContent>
            </w:sdt>
          </w:p>
        </w:tc>
        <w:tc>
          <w:tcPr>
            <w:tcW w:w="7586" w:type="dxa"/>
          </w:tcPr>
          <w:p w14:paraId="3A77BA5E" w14:textId="77777777" w:rsidR="006C090F" w:rsidRPr="00FD14E9" w:rsidRDefault="006C090F" w:rsidP="0001266C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040B0CA2" w14:textId="77777777" w:rsidR="006C090F" w:rsidRPr="00FD14E9" w:rsidRDefault="006C090F" w:rsidP="006C090F">
      <w:pPr>
        <w:spacing w:line="360" w:lineRule="auto"/>
        <w:rPr>
          <w:rFonts w:eastAsia="Times New Roman" w:cs="Times New Roman"/>
          <w:szCs w:val="24"/>
          <w:lang w:eastAsia="ru-RU"/>
        </w:rPr>
      </w:pPr>
    </w:p>
    <w:p w14:paraId="36F04877" w14:textId="77777777" w:rsidR="001B24AC" w:rsidRPr="00544AAC" w:rsidRDefault="001B24AC" w:rsidP="001B24AC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sdt>
      <w:sdtPr>
        <w:rPr>
          <w:rFonts w:eastAsia="Times New Roman" w:cs="Times New Roman"/>
          <w:szCs w:val="24"/>
          <w:lang w:eastAsia="ru-RU"/>
        </w:rPr>
        <w:alias w:val="Текст документа"/>
        <w:tag w:val="Текст документа"/>
        <w:id w:val="21853448"/>
        <w:lock w:val="sdtLocked"/>
        <w:placeholder>
          <w:docPart w:val="5AE3E905323C4DCF99E5124EEABFF570"/>
        </w:placeholder>
      </w:sdtPr>
      <w:sdtEndPr/>
      <w:sdtContent>
        <w:p w14:paraId="3B18DE1D" w14:textId="77777777" w:rsidR="00BD73B8" w:rsidRPr="00BD73B8" w:rsidRDefault="00BD73B8" w:rsidP="00BD73B8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D73B8">
            <w:rPr>
              <w:rFonts w:eastAsia="Times New Roman" w:cs="Times New Roman"/>
              <w:szCs w:val="24"/>
              <w:lang w:eastAsia="ru-RU"/>
            </w:rPr>
            <w:t>В связи с поступающими вопросами о применении Кодификатора назначения платежа в Республике Беларусь (далее – КНП) считаем необходимым пояснить следующее.</w:t>
          </w:r>
        </w:p>
        <w:p w14:paraId="440DD30E" w14:textId="62B8D973" w:rsidR="00BD73B8" w:rsidRPr="00BD73B8" w:rsidRDefault="00BD73B8" w:rsidP="00BD73B8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D73B8">
            <w:rPr>
              <w:rFonts w:eastAsia="Times New Roman" w:cs="Times New Roman"/>
              <w:szCs w:val="24"/>
              <w:lang w:eastAsia="ru-RU"/>
            </w:rPr>
            <w:t xml:space="preserve">КНП подготовлен с целью упорядочения и систематизации информации о платежах в Республике Беларусь, обеспечения прозрачности их </w:t>
          </w:r>
          <w:r w:rsidRPr="003F4082">
            <w:rPr>
              <w:rFonts w:eastAsia="Times New Roman" w:cs="Times New Roman"/>
              <w:szCs w:val="24"/>
              <w:lang w:eastAsia="ru-RU"/>
            </w:rPr>
            <w:t xml:space="preserve">проведения, создания условий для анализа потоков денежных средств при проведении </w:t>
          </w:r>
          <w:r w:rsidR="0074377C" w:rsidRPr="003F4082">
            <w:rPr>
              <w:rFonts w:eastAsia="Times New Roman" w:cs="Times New Roman"/>
              <w:szCs w:val="24"/>
              <w:lang w:eastAsia="ru-RU"/>
            </w:rPr>
            <w:t xml:space="preserve">расчетов </w:t>
          </w:r>
          <w:r w:rsidRPr="003F4082">
            <w:rPr>
              <w:rFonts w:eastAsia="Times New Roman" w:cs="Times New Roman"/>
              <w:szCs w:val="24"/>
              <w:lang w:eastAsia="ru-RU"/>
            </w:rPr>
            <w:t>в безналичной форме в белорусских рублях. КНП одобрен Правлением Национального банка для использования при осуществлении межбанковских платежей</w:t>
          </w:r>
          <w:r w:rsidR="0074377C" w:rsidRPr="003F4082">
            <w:rPr>
              <w:rFonts w:eastAsia="Times New Roman" w:cs="Times New Roman"/>
              <w:szCs w:val="24"/>
              <w:lang w:eastAsia="ru-RU"/>
            </w:rPr>
            <w:t xml:space="preserve"> и</w:t>
          </w:r>
          <w:r w:rsidRPr="003F4082">
            <w:rPr>
              <w:rFonts w:eastAsia="Times New Roman" w:cs="Times New Roman"/>
              <w:szCs w:val="24"/>
              <w:lang w:eastAsia="ru-RU"/>
            </w:rPr>
            <w:t xml:space="preserve"> платежей внутри одного банка</w:t>
          </w:r>
          <w:r w:rsidR="00F36275">
            <w:rPr>
              <w:rFonts w:eastAsia="Times New Roman" w:cs="Times New Roman"/>
              <w:szCs w:val="24"/>
              <w:lang w:eastAsia="ru-RU"/>
            </w:rPr>
            <w:t xml:space="preserve"> и размещен на </w:t>
          </w:r>
          <w:r w:rsidR="00F36275" w:rsidRPr="00F36275">
            <w:rPr>
              <w:rFonts w:eastAsia="Times New Roman" w:cs="Times New Roman"/>
              <w:szCs w:val="24"/>
              <w:lang w:eastAsia="ru-RU"/>
            </w:rPr>
            <w:t>официальном сайте Национального банка</w:t>
          </w:r>
          <w:r w:rsidRPr="003F4082">
            <w:rPr>
              <w:rFonts w:eastAsia="Times New Roman" w:cs="Times New Roman"/>
              <w:szCs w:val="24"/>
              <w:lang w:eastAsia="ru-RU"/>
            </w:rPr>
            <w:t>.</w:t>
          </w:r>
          <w:r w:rsidRPr="00BD73B8">
            <w:rPr>
              <w:rFonts w:eastAsia="Times New Roman" w:cs="Times New Roman"/>
              <w:szCs w:val="24"/>
              <w:lang w:eastAsia="ru-RU"/>
            </w:rPr>
            <w:t xml:space="preserve"> </w:t>
          </w:r>
          <w:r w:rsidR="00312462" w:rsidRPr="00312462">
            <w:rPr>
              <w:rFonts w:eastAsia="Times New Roman" w:cs="Times New Roman"/>
              <w:szCs w:val="24"/>
              <w:lang w:eastAsia="ru-RU"/>
            </w:rPr>
            <w:t>Обращаем внимание, что одобренный Правлением Национального банка КНП был направлен в адрес банков письмом № 03-15/10 от 21.02.2022 г.</w:t>
          </w:r>
        </w:p>
        <w:p w14:paraId="616695BA" w14:textId="77777777" w:rsidR="00BD73B8" w:rsidRPr="00BD73B8" w:rsidRDefault="00BD73B8" w:rsidP="00BD73B8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D73B8">
            <w:rPr>
              <w:rFonts w:eastAsia="Times New Roman" w:cs="Times New Roman"/>
              <w:szCs w:val="24"/>
              <w:lang w:eastAsia="ru-RU"/>
            </w:rPr>
            <w:t>КНП представлен в приложении к актуализированному проекту стандарта проведения расчетов СПР 3.01-2022 ”Банковская деятельность. Информационные технологии. Финансовые сообщения, используемые при переводе денежных средств. Общие требования“ (далее – СПР 3.01), который размещен на официальном сайте Национального банка (http://www.nbrb.by/payment/sertify/developingacts.asp) и в информационно-справочной системе ”Банк“. Утверждение и введение в действие СПР 3.01 планируется в сентябре 2022 г.</w:t>
          </w:r>
        </w:p>
        <w:p w14:paraId="378AF203" w14:textId="77777777" w:rsidR="00BD73B8" w:rsidRPr="00BD73B8" w:rsidRDefault="00BD73B8" w:rsidP="00BD73B8">
          <w:pPr>
            <w:jc w:val="both"/>
            <w:rPr>
              <w:rFonts w:eastAsia="Times New Roman" w:cs="Times New Roman"/>
              <w:b/>
              <w:i/>
              <w:sz w:val="26"/>
              <w:szCs w:val="26"/>
              <w:lang w:eastAsia="ru-RU"/>
            </w:rPr>
          </w:pPr>
          <w:r w:rsidRPr="00BD73B8">
            <w:rPr>
              <w:rFonts w:eastAsia="Times New Roman" w:cs="Times New Roman"/>
              <w:b/>
              <w:i/>
              <w:sz w:val="26"/>
              <w:szCs w:val="26"/>
              <w:lang w:eastAsia="ru-RU"/>
            </w:rPr>
            <w:t xml:space="preserve">Справочно: </w:t>
          </w:r>
        </w:p>
        <w:p w14:paraId="68733714" w14:textId="77777777" w:rsidR="00BD73B8" w:rsidRPr="00BD73B8" w:rsidRDefault="00BD73B8" w:rsidP="00BD73B8">
          <w:pPr>
            <w:ind w:left="709"/>
            <w:jc w:val="both"/>
            <w:rPr>
              <w:rFonts w:eastAsia="Times New Roman" w:cs="Times New Roman"/>
              <w:i/>
              <w:sz w:val="26"/>
              <w:szCs w:val="26"/>
              <w:lang w:eastAsia="ru-RU"/>
            </w:rPr>
          </w:pPr>
          <w:r w:rsidRPr="00BD73B8">
            <w:rPr>
              <w:rFonts w:eastAsia="Times New Roman" w:cs="Times New Roman"/>
              <w:i/>
              <w:sz w:val="26"/>
              <w:szCs w:val="26"/>
              <w:lang w:eastAsia="ru-RU"/>
            </w:rPr>
            <w:t>В соответствии со статьей 32 Банковского кодекса Республики Беларусь от 25 октября 2000 г. № 441-З и статьей 27 Закона Республики Беларусь от 17 июля 2018 г. № 130-З ”О нормативных правовых актах“ требования стандартов проведения расчетов являются обязательными для соблюдения.</w:t>
          </w:r>
        </w:p>
        <w:p w14:paraId="2714D9E0" w14:textId="77777777" w:rsidR="00BD73B8" w:rsidRPr="00BD73B8" w:rsidRDefault="00BD73B8" w:rsidP="00BD73B8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D73B8">
            <w:rPr>
              <w:rFonts w:eastAsia="Times New Roman" w:cs="Times New Roman"/>
              <w:szCs w:val="24"/>
              <w:lang w:eastAsia="ru-RU"/>
            </w:rPr>
            <w:lastRenderedPageBreak/>
            <w:t xml:space="preserve">Согласно КНП платежи, </w:t>
          </w:r>
          <w:r w:rsidR="00F36275">
            <w:rPr>
              <w:rFonts w:eastAsia="Times New Roman" w:cs="Times New Roman"/>
              <w:szCs w:val="24"/>
              <w:lang w:eastAsia="ru-RU"/>
            </w:rPr>
            <w:t>инициированные</w:t>
          </w:r>
          <w:r w:rsidRPr="00BD73B8">
            <w:rPr>
              <w:rFonts w:eastAsia="Times New Roman" w:cs="Times New Roman"/>
              <w:szCs w:val="24"/>
              <w:lang w:eastAsia="ru-RU"/>
            </w:rPr>
            <w:t xml:space="preserve"> на территории Республики Беларусь, кодируются следующим образом:</w:t>
          </w:r>
        </w:p>
        <w:p w14:paraId="65F73785" w14:textId="484F50BB" w:rsidR="00BD73B8" w:rsidRPr="00BD73B8" w:rsidRDefault="00BD73B8" w:rsidP="00BD73B8">
          <w:pPr>
            <w:ind w:firstLine="709"/>
            <w:jc w:val="center"/>
            <w:rPr>
              <w:rFonts w:eastAsia="Times New Roman" w:cs="Times New Roman"/>
              <w:szCs w:val="24"/>
              <w:lang w:eastAsia="ru-RU"/>
            </w:rPr>
          </w:pPr>
          <w:r w:rsidRPr="00BD73B8">
            <w:rPr>
              <w:rFonts w:eastAsia="Times New Roman" w:cs="Times New Roman"/>
              <w:szCs w:val="24"/>
              <w:lang w:eastAsia="ru-RU"/>
            </w:rPr>
            <w:t>ЕЕЕЕ ХАВВСС</w:t>
          </w:r>
        </w:p>
        <w:p w14:paraId="5819DEA7" w14:textId="77777777" w:rsidR="00BD73B8" w:rsidRPr="00BD73B8" w:rsidRDefault="00BD73B8" w:rsidP="00BD73B8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D73B8">
            <w:rPr>
              <w:rFonts w:eastAsia="Times New Roman" w:cs="Times New Roman"/>
              <w:szCs w:val="24"/>
              <w:lang w:eastAsia="ru-RU"/>
            </w:rPr>
            <w:t>где ЕЕЕЕ – код категории назначения перевода согласно справочнику Е004;</w:t>
          </w:r>
        </w:p>
        <w:p w14:paraId="737F97BD" w14:textId="77777777" w:rsidR="00BD73B8" w:rsidRPr="00BD73B8" w:rsidRDefault="00BD73B8" w:rsidP="00BD73B8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D73B8">
            <w:rPr>
              <w:rFonts w:eastAsia="Times New Roman" w:cs="Times New Roman"/>
              <w:szCs w:val="24"/>
              <w:lang w:eastAsia="ru-RU"/>
            </w:rPr>
            <w:t xml:space="preserve">Х – признак платежа; </w:t>
          </w:r>
        </w:p>
        <w:p w14:paraId="00ED1D28" w14:textId="77777777" w:rsidR="00BD73B8" w:rsidRPr="00BD73B8" w:rsidRDefault="00BD73B8" w:rsidP="00BD73B8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D73B8">
            <w:rPr>
              <w:rFonts w:eastAsia="Times New Roman" w:cs="Times New Roman"/>
              <w:szCs w:val="24"/>
              <w:lang w:eastAsia="ru-RU"/>
            </w:rPr>
            <w:t xml:space="preserve">АВВСС – код назначения платежа. </w:t>
          </w:r>
        </w:p>
        <w:p w14:paraId="238445CC" w14:textId="77777777" w:rsidR="00BD73B8" w:rsidRPr="00BD73B8" w:rsidRDefault="00BD73B8" w:rsidP="00BD73B8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D73B8">
            <w:rPr>
              <w:rFonts w:eastAsia="Times New Roman" w:cs="Times New Roman"/>
              <w:szCs w:val="24"/>
              <w:lang w:eastAsia="ru-RU"/>
            </w:rPr>
            <w:t>При этом код категории назначения перевода (ЕЕЕЕ) в соответствии с КНП и пунктом 72 СПР 3.01 принимает следующие значения:</w:t>
          </w:r>
        </w:p>
        <w:p w14:paraId="24767AC7" w14:textId="38E7CF45" w:rsidR="00BD73B8" w:rsidRPr="00BD73B8" w:rsidRDefault="00BD73B8" w:rsidP="009B56D6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D73B8">
            <w:rPr>
              <w:rFonts w:eastAsia="Times New Roman" w:cs="Times New Roman"/>
              <w:szCs w:val="24"/>
              <w:lang w:eastAsia="ru-RU"/>
            </w:rPr>
            <w:t>по платежам в бюджет – TAXS, VATX, WHLD, TREA, GOVT</w:t>
          </w:r>
          <w:r w:rsidR="009B56D6">
            <w:rPr>
              <w:rFonts w:eastAsia="Times New Roman" w:cs="Times New Roman"/>
              <w:szCs w:val="24"/>
              <w:lang w:eastAsia="ru-RU"/>
            </w:rPr>
            <w:t xml:space="preserve"> </w:t>
          </w:r>
          <w:bookmarkStart w:id="1" w:name="_Hlk107583341"/>
          <w:r w:rsidR="009B56D6">
            <w:rPr>
              <w:rFonts w:eastAsia="Times New Roman" w:cs="Times New Roman"/>
              <w:szCs w:val="24"/>
              <w:lang w:eastAsia="ru-RU"/>
            </w:rPr>
            <w:t>(</w:t>
          </w:r>
          <w:r w:rsidR="009B56D6" w:rsidRPr="009B56D6">
            <w:rPr>
              <w:rFonts w:eastAsia="Times New Roman" w:cs="Times New Roman"/>
              <w:szCs w:val="24"/>
              <w:lang w:eastAsia="ru-RU"/>
            </w:rPr>
            <w:t>при этом наличие кода платежа в бюджет</w:t>
          </w:r>
          <w:r w:rsidR="009B56D6">
            <w:rPr>
              <w:rFonts w:eastAsia="Times New Roman" w:cs="Times New Roman"/>
              <w:szCs w:val="24"/>
              <w:lang w:eastAsia="ru-RU"/>
            </w:rPr>
            <w:t xml:space="preserve"> в платежной инструкции становится обязательным)</w:t>
          </w:r>
          <w:r w:rsidRPr="00BD73B8">
            <w:rPr>
              <w:rFonts w:eastAsia="Times New Roman" w:cs="Times New Roman"/>
              <w:szCs w:val="24"/>
              <w:lang w:eastAsia="ru-RU"/>
            </w:rPr>
            <w:t>;</w:t>
          </w:r>
          <w:bookmarkEnd w:id="1"/>
        </w:p>
        <w:p w14:paraId="7050F733" w14:textId="77777777" w:rsidR="00BD73B8" w:rsidRPr="00BD73B8" w:rsidRDefault="00BD73B8" w:rsidP="00BD73B8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D73B8">
            <w:rPr>
              <w:rFonts w:eastAsia="Times New Roman" w:cs="Times New Roman"/>
              <w:szCs w:val="24"/>
              <w:lang w:eastAsia="ru-RU"/>
            </w:rPr>
            <w:t>по иным платежам в зависимости от способа осуществления платежа</w:t>
          </w:r>
          <w:r>
            <w:rPr>
              <w:rFonts w:eastAsia="Times New Roman" w:cs="Times New Roman"/>
              <w:szCs w:val="24"/>
              <w:lang w:eastAsia="ru-RU"/>
            </w:rPr>
            <w:t> </w:t>
          </w:r>
          <w:r w:rsidRPr="00BD73B8">
            <w:rPr>
              <w:rFonts w:eastAsia="Times New Roman" w:cs="Times New Roman"/>
              <w:szCs w:val="24"/>
              <w:lang w:eastAsia="ru-RU"/>
            </w:rPr>
            <w:t>– CASH, EPAY, MP2B, MP2P, OTHR.</w:t>
          </w:r>
        </w:p>
        <w:p w14:paraId="6D284BFC" w14:textId="77777777" w:rsidR="00BD73B8" w:rsidRPr="00BD73B8" w:rsidRDefault="00BD73B8" w:rsidP="00BD73B8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D73B8">
            <w:rPr>
              <w:rFonts w:eastAsia="Times New Roman" w:cs="Times New Roman"/>
              <w:szCs w:val="24"/>
              <w:lang w:eastAsia="ru-RU"/>
            </w:rPr>
            <w:t>В случае осуществления платежей</w:t>
          </w:r>
          <w:r w:rsidR="0074377C" w:rsidRPr="003F4082">
            <w:rPr>
              <w:rFonts w:eastAsia="Times New Roman" w:cs="Times New Roman"/>
              <w:szCs w:val="24"/>
              <w:lang w:eastAsia="ru-RU"/>
            </w:rPr>
            <w:t>, инициированных</w:t>
          </w:r>
          <w:r w:rsidRPr="003F4082">
            <w:rPr>
              <w:rFonts w:eastAsia="Times New Roman" w:cs="Times New Roman"/>
              <w:szCs w:val="24"/>
              <w:lang w:eastAsia="ru-RU"/>
            </w:rPr>
            <w:t xml:space="preserve"> на территории Республики Беларусь указание в платежных инструкциях иных кодов, содержащихся в справочнике Е004, не допускается.</w:t>
          </w:r>
          <w:r w:rsidRPr="00BD73B8">
            <w:rPr>
              <w:rFonts w:eastAsia="Times New Roman" w:cs="Times New Roman"/>
              <w:szCs w:val="24"/>
              <w:lang w:eastAsia="ru-RU"/>
            </w:rPr>
            <w:t xml:space="preserve"> </w:t>
          </w:r>
        </w:p>
        <w:p w14:paraId="3DF7ECB9" w14:textId="77777777" w:rsidR="00BD73B8" w:rsidRPr="00BD73B8" w:rsidRDefault="00BD73B8" w:rsidP="00BD73B8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D73B8">
            <w:rPr>
              <w:rFonts w:eastAsia="Times New Roman" w:cs="Times New Roman"/>
              <w:szCs w:val="24"/>
              <w:lang w:eastAsia="ru-RU"/>
            </w:rPr>
            <w:t xml:space="preserve">Заполнение более одной классификации (ЕЕЕЕ ХАВВСС) в платежной инструкции не допускается. При осуществлении операции, имеющей несколько назначений платежа, в платежной инструкции проставляется код назначения базового платежа либо наибольшей доли товаров, работ, услуг в случае, если они являются неоднородными. </w:t>
          </w:r>
        </w:p>
        <w:p w14:paraId="6B413784" w14:textId="77777777" w:rsidR="00BD73B8" w:rsidRPr="00BD73B8" w:rsidRDefault="00BD73B8" w:rsidP="00BD73B8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D73B8">
            <w:rPr>
              <w:rFonts w:eastAsia="Times New Roman" w:cs="Times New Roman"/>
              <w:szCs w:val="24"/>
              <w:lang w:eastAsia="ru-RU"/>
            </w:rPr>
            <w:t>На первоначальном этапе полагаем возможным использовать следующую упрощенную схему кодирования платежей:</w:t>
          </w:r>
        </w:p>
        <w:p w14:paraId="3FFBB9A4" w14:textId="77777777" w:rsidR="00BD73B8" w:rsidRPr="00BD73B8" w:rsidRDefault="00BD73B8" w:rsidP="00BD73B8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D73B8">
            <w:rPr>
              <w:rFonts w:eastAsia="Times New Roman" w:cs="Times New Roman"/>
              <w:szCs w:val="24"/>
              <w:lang w:eastAsia="ru-RU"/>
            </w:rPr>
            <w:t>по платежам в бюджет код категории назначения перевода принимает значение TAXS, код</w:t>
          </w:r>
          <w:r w:rsidR="003338CD">
            <w:rPr>
              <w:rFonts w:eastAsia="Times New Roman" w:cs="Times New Roman"/>
              <w:szCs w:val="24"/>
              <w:lang w:eastAsia="ru-RU"/>
            </w:rPr>
            <w:t>ы</w:t>
          </w:r>
          <w:r w:rsidRPr="00BD73B8">
            <w:rPr>
              <w:rFonts w:eastAsia="Times New Roman" w:cs="Times New Roman"/>
              <w:szCs w:val="24"/>
              <w:lang w:eastAsia="ru-RU"/>
            </w:rPr>
            <w:t xml:space="preserve"> назначения платежа – 90101, 90102;</w:t>
          </w:r>
        </w:p>
        <w:p w14:paraId="370D97A1" w14:textId="77777777" w:rsidR="00BD73B8" w:rsidRPr="00BD73B8" w:rsidRDefault="00BD73B8" w:rsidP="00BD73B8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D73B8">
            <w:rPr>
              <w:rFonts w:eastAsia="Times New Roman" w:cs="Times New Roman"/>
              <w:szCs w:val="24"/>
              <w:lang w:eastAsia="ru-RU"/>
            </w:rPr>
            <w:t>по платежам с субсчета республиканского бюджета код категории назначения перевода принимает значение GOVT, код назначения платежа</w:t>
          </w:r>
          <w:r>
            <w:rPr>
              <w:rFonts w:eastAsia="Times New Roman" w:cs="Times New Roman"/>
              <w:szCs w:val="24"/>
              <w:lang w:eastAsia="ru-RU"/>
            </w:rPr>
            <w:t> </w:t>
          </w:r>
          <w:r w:rsidRPr="00BD73B8">
            <w:rPr>
              <w:rFonts w:eastAsia="Times New Roman" w:cs="Times New Roman"/>
              <w:szCs w:val="24"/>
              <w:lang w:eastAsia="ru-RU"/>
            </w:rPr>
            <w:t>–</w:t>
          </w:r>
          <w:r>
            <w:rPr>
              <w:rFonts w:eastAsia="Times New Roman" w:cs="Times New Roman"/>
              <w:szCs w:val="24"/>
              <w:lang w:eastAsia="ru-RU"/>
            </w:rPr>
            <w:t> </w:t>
          </w:r>
          <w:r w:rsidRPr="00BD73B8">
            <w:rPr>
              <w:rFonts w:eastAsia="Times New Roman" w:cs="Times New Roman"/>
              <w:szCs w:val="24"/>
              <w:lang w:eastAsia="ru-RU"/>
            </w:rPr>
            <w:t>90101;</w:t>
          </w:r>
        </w:p>
        <w:p w14:paraId="1F7EC72B" w14:textId="77777777" w:rsidR="00BD73B8" w:rsidRDefault="00164D6A" w:rsidP="00BD73B8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164D6A">
            <w:rPr>
              <w:rFonts w:eastAsia="Times New Roman" w:cs="Times New Roman"/>
              <w:szCs w:val="24"/>
              <w:lang w:eastAsia="ru-RU"/>
            </w:rPr>
            <w:t>по платежам на базовый счет, зачисление которых в обязательном порядке осуществляется без взимания вознаграждения с владельца базового счета, код категории назначения перевода принимает значение OTHR</w:t>
          </w:r>
          <w:r w:rsidR="00BD73B8" w:rsidRPr="00BD73B8">
            <w:rPr>
              <w:rFonts w:eastAsia="Times New Roman" w:cs="Times New Roman"/>
              <w:szCs w:val="24"/>
              <w:lang w:eastAsia="ru-RU"/>
            </w:rPr>
            <w:t>, код</w:t>
          </w:r>
          <w:r w:rsidR="00C6073A">
            <w:rPr>
              <w:rFonts w:eastAsia="Times New Roman" w:cs="Times New Roman"/>
              <w:szCs w:val="24"/>
              <w:lang w:eastAsia="ru-RU"/>
            </w:rPr>
            <w:t>ы</w:t>
          </w:r>
          <w:r w:rsidR="00BD73B8" w:rsidRPr="00BD73B8">
            <w:rPr>
              <w:rFonts w:eastAsia="Times New Roman" w:cs="Times New Roman"/>
              <w:szCs w:val="24"/>
              <w:lang w:eastAsia="ru-RU"/>
            </w:rPr>
            <w:t xml:space="preserve"> назначения платежа – 30101, 30</w:t>
          </w:r>
          <w:r w:rsidR="00BD73B8">
            <w:rPr>
              <w:rFonts w:eastAsia="Times New Roman" w:cs="Times New Roman"/>
              <w:szCs w:val="24"/>
              <w:lang w:eastAsia="ru-RU"/>
            </w:rPr>
            <w:t>3</w:t>
          </w:r>
          <w:r w:rsidR="00BD73B8" w:rsidRPr="00BD73B8">
            <w:rPr>
              <w:rFonts w:eastAsia="Times New Roman" w:cs="Times New Roman"/>
              <w:szCs w:val="24"/>
              <w:lang w:eastAsia="ru-RU"/>
            </w:rPr>
            <w:t>01, 30402</w:t>
          </w:r>
          <w:r w:rsidR="00E45592">
            <w:rPr>
              <w:rFonts w:eastAsia="Times New Roman" w:cs="Times New Roman"/>
              <w:szCs w:val="24"/>
              <w:lang w:eastAsia="ru-RU"/>
            </w:rPr>
            <w:t>;</w:t>
          </w:r>
        </w:p>
        <w:p w14:paraId="5DAB81A1" w14:textId="77777777" w:rsidR="00E45592" w:rsidRPr="00BD73B8" w:rsidRDefault="003F4082" w:rsidP="00BD73B8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>
            <w:rPr>
              <w:rFonts w:eastAsia="Times New Roman" w:cs="Times New Roman"/>
              <w:szCs w:val="24"/>
              <w:lang w:eastAsia="ru-RU"/>
            </w:rPr>
            <w:t>по платежам, назначение которых невозможно идентифицировать</w:t>
          </w:r>
          <w:r w:rsidR="00F36275">
            <w:rPr>
              <w:rFonts w:eastAsia="Times New Roman" w:cs="Times New Roman"/>
              <w:szCs w:val="24"/>
              <w:lang w:eastAsia="ru-RU"/>
            </w:rPr>
            <w:t>,</w:t>
          </w:r>
          <w:r w:rsidRPr="003F4082">
            <w:t xml:space="preserve"> </w:t>
          </w:r>
          <w:r w:rsidRPr="003F4082">
            <w:rPr>
              <w:rFonts w:eastAsia="Times New Roman" w:cs="Times New Roman"/>
              <w:szCs w:val="24"/>
              <w:lang w:eastAsia="ru-RU"/>
            </w:rPr>
            <w:t xml:space="preserve">код категории назначения перевода принимает значение OTHR, код назначения платежа – </w:t>
          </w:r>
          <w:r>
            <w:rPr>
              <w:rFonts w:eastAsia="Times New Roman" w:cs="Times New Roman"/>
              <w:szCs w:val="24"/>
              <w:lang w:eastAsia="ru-RU"/>
            </w:rPr>
            <w:t>90401.</w:t>
          </w:r>
        </w:p>
        <w:p w14:paraId="1798E27F" w14:textId="77777777" w:rsidR="00B20B92" w:rsidRPr="00B20B92" w:rsidRDefault="00BD73B8" w:rsidP="00B20B92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20B92">
            <w:rPr>
              <w:rFonts w:eastAsia="Times New Roman" w:cs="Times New Roman"/>
              <w:szCs w:val="24"/>
              <w:lang w:eastAsia="ru-RU"/>
            </w:rPr>
            <w:t>Признак платежа принимает значение ˮ0“ в случа</w:t>
          </w:r>
          <w:r w:rsidR="003F4082" w:rsidRPr="00B20B92">
            <w:rPr>
              <w:rFonts w:eastAsia="Times New Roman" w:cs="Times New Roman"/>
              <w:szCs w:val="24"/>
              <w:lang w:eastAsia="ru-RU"/>
            </w:rPr>
            <w:t>ях</w:t>
          </w:r>
          <w:r w:rsidRPr="00B20B92">
            <w:rPr>
              <w:rFonts w:eastAsia="Times New Roman" w:cs="Times New Roman"/>
              <w:szCs w:val="24"/>
              <w:lang w:eastAsia="ru-RU"/>
            </w:rPr>
            <w:t xml:space="preserve"> возврата денежных средств</w:t>
          </w:r>
          <w:r w:rsidR="00B20B92" w:rsidRPr="00B20B92">
            <w:rPr>
              <w:rFonts w:eastAsia="Times New Roman" w:cs="Times New Roman"/>
              <w:szCs w:val="24"/>
              <w:lang w:eastAsia="ru-RU"/>
            </w:rPr>
            <w:t xml:space="preserve">. Под возвратом денежных средств понимается возврат бенефициаром плательщику ранее зачисленных (выплаченных) бенефициару денежных средств (за исключением случаев возврата (погашения) финансовых активов или обязательств). Возврат денежных </w:t>
          </w:r>
          <w:r w:rsidR="00B20B92" w:rsidRPr="00B20B92">
            <w:rPr>
              <w:rFonts w:eastAsia="Times New Roman" w:cs="Times New Roman"/>
              <w:szCs w:val="24"/>
              <w:lang w:eastAsia="ru-RU"/>
            </w:rPr>
            <w:lastRenderedPageBreak/>
            <w:t>средств бенефициаром может быть инициирован плательщиком в следующих случаях:</w:t>
          </w:r>
        </w:p>
        <w:p w14:paraId="5F35CFEB" w14:textId="77777777" w:rsidR="00B20B92" w:rsidRPr="00B20B92" w:rsidRDefault="00B20B92" w:rsidP="00B20B92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20B92">
            <w:rPr>
              <w:rFonts w:eastAsia="Times New Roman" w:cs="Times New Roman"/>
              <w:szCs w:val="24"/>
              <w:lang w:eastAsia="ru-RU"/>
            </w:rPr>
            <w:t xml:space="preserve">излишне уплаченных денежных средств; </w:t>
          </w:r>
        </w:p>
        <w:p w14:paraId="2E76438A" w14:textId="77777777" w:rsidR="00B20B92" w:rsidRPr="00B20B92" w:rsidRDefault="00B20B92" w:rsidP="00B20B92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20B92">
            <w:rPr>
              <w:rFonts w:eastAsia="Times New Roman" w:cs="Times New Roman"/>
              <w:szCs w:val="24"/>
              <w:lang w:eastAsia="ru-RU"/>
            </w:rPr>
            <w:t xml:space="preserve">ошибочно совершенного платежа; </w:t>
          </w:r>
        </w:p>
        <w:p w14:paraId="0A09BE75" w14:textId="77777777" w:rsidR="00B20B92" w:rsidRPr="00B20B92" w:rsidRDefault="00B20B92" w:rsidP="00B20B92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20B92">
            <w:rPr>
              <w:rFonts w:eastAsia="Times New Roman" w:cs="Times New Roman"/>
              <w:szCs w:val="24"/>
              <w:lang w:eastAsia="ru-RU"/>
            </w:rPr>
            <w:t xml:space="preserve">неисполнения бенефициаром обязательств, связанных с назначением платежа; </w:t>
          </w:r>
        </w:p>
        <w:p w14:paraId="32DC4042" w14:textId="77777777" w:rsidR="00B20B92" w:rsidRPr="00B20B92" w:rsidRDefault="00B20B92" w:rsidP="00B20B92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20B92">
            <w:rPr>
              <w:rFonts w:eastAsia="Times New Roman" w:cs="Times New Roman"/>
              <w:szCs w:val="24"/>
              <w:lang w:eastAsia="ru-RU"/>
            </w:rPr>
            <w:t xml:space="preserve">при возврате плательщиком оплаченного товара; </w:t>
          </w:r>
        </w:p>
        <w:p w14:paraId="4699EED4" w14:textId="77777777" w:rsidR="00B20B92" w:rsidRPr="00B20B92" w:rsidRDefault="00B20B92" w:rsidP="00B20B92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20B92">
            <w:rPr>
              <w:rFonts w:eastAsia="Times New Roman" w:cs="Times New Roman"/>
              <w:szCs w:val="24"/>
              <w:lang w:eastAsia="ru-RU"/>
            </w:rPr>
            <w:t>при возврате денежных средств за неоказанные услуги, за невыполненные работы.</w:t>
          </w:r>
        </w:p>
        <w:p w14:paraId="1A6C2677" w14:textId="77777777" w:rsidR="00B20B92" w:rsidRDefault="00B20B92" w:rsidP="00B20B92">
          <w:pPr>
            <w:ind w:firstLine="709"/>
            <w:jc w:val="both"/>
            <w:rPr>
              <w:rFonts w:eastAsia="Times New Roman" w:cs="Times New Roman"/>
              <w:szCs w:val="24"/>
              <w:highlight w:val="yellow"/>
              <w:lang w:eastAsia="ru-RU"/>
            </w:rPr>
          </w:pPr>
          <w:r>
            <w:rPr>
              <w:rFonts w:eastAsia="Times New Roman" w:cs="Times New Roman"/>
              <w:szCs w:val="24"/>
              <w:lang w:eastAsia="ru-RU"/>
            </w:rPr>
            <w:t>Кроме того, п</w:t>
          </w:r>
          <w:r w:rsidRPr="00B20B92">
            <w:rPr>
              <w:rFonts w:eastAsia="Times New Roman" w:cs="Times New Roman"/>
              <w:szCs w:val="24"/>
              <w:lang w:eastAsia="ru-RU"/>
            </w:rPr>
            <w:t>ризнак платежа принимает значение ˮ0“ в случае возврата денежных средств, зачисленных на счет бенефициара в результате технической ошибки банка, а также возврата денежных средств банком в связи с невозможностью зачисления на счета юридических и физических лиц (неверно указаны реквизиты счета, счет клиента закрыт и т.д.).</w:t>
          </w:r>
        </w:p>
        <w:p w14:paraId="420C68D7" w14:textId="77777777" w:rsidR="00BD73B8" w:rsidRDefault="00BD73B8" w:rsidP="00BD73B8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3F4082">
            <w:rPr>
              <w:rFonts w:eastAsia="Times New Roman" w:cs="Times New Roman"/>
              <w:szCs w:val="24"/>
              <w:lang w:eastAsia="ru-RU"/>
            </w:rPr>
            <w:t>При исполнении денежных обязательств посредством автоматизированной информационной системы исполнения денежных обязательств признак платежа всегда принимает значение ˮ1“.</w:t>
          </w:r>
        </w:p>
        <w:p w14:paraId="46235B87" w14:textId="77777777" w:rsidR="00BD73B8" w:rsidRPr="00BD73B8" w:rsidRDefault="00BD73B8" w:rsidP="00BD73B8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D73B8">
            <w:rPr>
              <w:rFonts w:eastAsia="Times New Roman" w:cs="Times New Roman"/>
              <w:szCs w:val="24"/>
              <w:lang w:eastAsia="ru-RU"/>
            </w:rPr>
            <w:t xml:space="preserve">При внедрении методологии международного стандарта ISO 20022 в платежную систему Республики Беларусь осуществляется переход на использование МХ-сообщений в автоматизированных системах Национального банка и иных автоматизированных системах. Данные МХ-сообщения содержат обязательные к заполнению компоненты ”Категория назначения перевода“ (CategoryPurpose), ”Назначение платежа и очередность“ (Purpose). Таким образом, инициатор платежа должен обеспечить указание в платежных </w:t>
          </w:r>
          <w:r w:rsidRPr="007115CD">
            <w:rPr>
              <w:rFonts w:eastAsia="Times New Roman" w:cs="Times New Roman"/>
              <w:szCs w:val="24"/>
              <w:lang w:eastAsia="ru-RU"/>
            </w:rPr>
            <w:t>инструкциях кода категории назначения перевода, признака платежа и код назначения платежа.</w:t>
          </w:r>
        </w:p>
        <w:p w14:paraId="557B2647" w14:textId="77777777" w:rsidR="00BD73B8" w:rsidRPr="00BD73B8" w:rsidRDefault="00BD73B8" w:rsidP="00BD73B8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D73B8">
            <w:rPr>
              <w:rFonts w:eastAsia="Times New Roman" w:cs="Times New Roman"/>
              <w:szCs w:val="24"/>
              <w:lang w:eastAsia="ru-RU"/>
            </w:rPr>
            <w:t xml:space="preserve">При формировании платежной инструкции в виде электронного документа (электронного сообщения) указание кода категории назначения перевода, признака платежа и код назначения платежа осуществляется в </w:t>
          </w:r>
          <w:r w:rsidR="00E45592">
            <w:rPr>
              <w:rFonts w:eastAsia="Times New Roman" w:cs="Times New Roman"/>
              <w:szCs w:val="24"/>
              <w:lang w:eastAsia="ru-RU"/>
            </w:rPr>
            <w:t>отдельных</w:t>
          </w:r>
          <w:r w:rsidRPr="00BD73B8">
            <w:rPr>
              <w:rFonts w:eastAsia="Times New Roman" w:cs="Times New Roman"/>
              <w:szCs w:val="24"/>
              <w:lang w:eastAsia="ru-RU"/>
            </w:rPr>
            <w:t xml:space="preserve"> полях. Вместе с тем при воспроизведении на бумажном носителе такого электронного документа (электронного сообщения) значения кода категории назначения перевода, признака платежа и код назначения платежа отображаются в начале поля ”Назначение платежа“</w:t>
          </w:r>
          <w:r w:rsidR="00F36275">
            <w:rPr>
              <w:rFonts w:eastAsia="Times New Roman" w:cs="Times New Roman"/>
              <w:szCs w:val="24"/>
              <w:lang w:eastAsia="ru-RU"/>
            </w:rPr>
            <w:t xml:space="preserve"> или в отдельны</w:t>
          </w:r>
          <w:r w:rsidR="006C3C1C">
            <w:rPr>
              <w:rFonts w:eastAsia="Times New Roman" w:cs="Times New Roman"/>
              <w:szCs w:val="24"/>
              <w:lang w:eastAsia="ru-RU"/>
            </w:rPr>
            <w:t>х</w:t>
          </w:r>
          <w:r w:rsidR="00F36275">
            <w:rPr>
              <w:rFonts w:eastAsia="Times New Roman" w:cs="Times New Roman"/>
              <w:szCs w:val="24"/>
              <w:lang w:eastAsia="ru-RU"/>
            </w:rPr>
            <w:t xml:space="preserve"> поля</w:t>
          </w:r>
          <w:r w:rsidR="006C3C1C">
            <w:rPr>
              <w:rFonts w:eastAsia="Times New Roman" w:cs="Times New Roman"/>
              <w:szCs w:val="24"/>
              <w:lang w:eastAsia="ru-RU"/>
            </w:rPr>
            <w:t>х</w:t>
          </w:r>
          <w:r w:rsidR="00F36275">
            <w:rPr>
              <w:rFonts w:eastAsia="Times New Roman" w:cs="Times New Roman"/>
              <w:szCs w:val="24"/>
              <w:lang w:eastAsia="ru-RU"/>
            </w:rPr>
            <w:t xml:space="preserve"> в зависимости от используемой</w:t>
          </w:r>
          <w:r w:rsidRPr="00BD73B8">
            <w:rPr>
              <w:rFonts w:eastAsia="Times New Roman" w:cs="Times New Roman"/>
              <w:szCs w:val="24"/>
              <w:lang w:eastAsia="ru-RU"/>
            </w:rPr>
            <w:t xml:space="preserve"> формы внешнего представления платежной инструкции на бумажном носителе.</w:t>
          </w:r>
        </w:p>
        <w:p w14:paraId="707862A2" w14:textId="77777777" w:rsidR="00BD73B8" w:rsidRPr="00BD73B8" w:rsidRDefault="00BD73B8" w:rsidP="00BD73B8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7115CD">
            <w:rPr>
              <w:rFonts w:eastAsia="Times New Roman" w:cs="Times New Roman"/>
              <w:szCs w:val="24"/>
              <w:lang w:eastAsia="ru-RU"/>
            </w:rPr>
            <w:t xml:space="preserve">При оформлении платежной инструкции на бумажном носителе </w:t>
          </w:r>
          <w:r w:rsidR="00E45592" w:rsidRPr="007115CD">
            <w:rPr>
              <w:rFonts w:eastAsia="Times New Roman" w:cs="Times New Roman"/>
              <w:szCs w:val="24"/>
              <w:lang w:eastAsia="ru-RU"/>
            </w:rPr>
            <w:t xml:space="preserve">код категории назначения перевода, признак платежа и код назначения платежа заполняются </w:t>
          </w:r>
          <w:r w:rsidRPr="007115CD">
            <w:rPr>
              <w:rFonts w:eastAsia="Times New Roman" w:cs="Times New Roman"/>
              <w:szCs w:val="24"/>
              <w:lang w:eastAsia="ru-RU"/>
            </w:rPr>
            <w:t xml:space="preserve">в </w:t>
          </w:r>
          <w:r w:rsidR="00E45592" w:rsidRPr="007115CD">
            <w:rPr>
              <w:rFonts w:eastAsia="Times New Roman" w:cs="Times New Roman"/>
              <w:szCs w:val="24"/>
              <w:lang w:eastAsia="ru-RU"/>
            </w:rPr>
            <w:t>начале</w:t>
          </w:r>
          <w:r w:rsidRPr="007115CD">
            <w:rPr>
              <w:rFonts w:eastAsia="Times New Roman" w:cs="Times New Roman"/>
              <w:szCs w:val="24"/>
              <w:lang w:eastAsia="ru-RU"/>
            </w:rPr>
            <w:t xml:space="preserve"> пол</w:t>
          </w:r>
          <w:r w:rsidR="002F3ECC">
            <w:rPr>
              <w:rFonts w:eastAsia="Times New Roman" w:cs="Times New Roman"/>
              <w:szCs w:val="24"/>
              <w:lang w:eastAsia="ru-RU"/>
            </w:rPr>
            <w:t>я</w:t>
          </w:r>
          <w:r w:rsidRPr="007115CD">
            <w:rPr>
              <w:rFonts w:eastAsia="Times New Roman" w:cs="Times New Roman"/>
              <w:szCs w:val="24"/>
              <w:lang w:eastAsia="ru-RU"/>
            </w:rPr>
            <w:t xml:space="preserve"> ”Назначение платежа“.</w:t>
          </w:r>
        </w:p>
        <w:p w14:paraId="556CCFD2" w14:textId="77777777" w:rsidR="00E45592" w:rsidRDefault="00BD73B8" w:rsidP="00BD73B8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D73B8">
            <w:rPr>
              <w:rFonts w:eastAsia="Times New Roman" w:cs="Times New Roman"/>
              <w:szCs w:val="24"/>
              <w:lang w:eastAsia="ru-RU"/>
            </w:rPr>
            <w:t xml:space="preserve">Также считаем необходимым отметить, что при оформлении </w:t>
          </w:r>
          <w:r w:rsidR="002F3ECC" w:rsidRPr="00BD73B8">
            <w:rPr>
              <w:rFonts w:eastAsia="Times New Roman" w:cs="Times New Roman"/>
              <w:szCs w:val="24"/>
              <w:lang w:eastAsia="ru-RU"/>
            </w:rPr>
            <w:t xml:space="preserve">платежной инструкции </w:t>
          </w:r>
          <w:r w:rsidRPr="00BD73B8">
            <w:rPr>
              <w:rFonts w:eastAsia="Times New Roman" w:cs="Times New Roman"/>
              <w:szCs w:val="24"/>
              <w:lang w:eastAsia="ru-RU"/>
            </w:rPr>
            <w:t>на бумажном носителе</w:t>
          </w:r>
          <w:r w:rsidR="007115CD" w:rsidRPr="007115CD">
            <w:t xml:space="preserve"> </w:t>
          </w:r>
          <w:r w:rsidR="007115CD" w:rsidRPr="007115CD">
            <w:rPr>
              <w:rFonts w:eastAsia="Times New Roman" w:cs="Times New Roman"/>
              <w:szCs w:val="24"/>
              <w:lang w:eastAsia="ru-RU"/>
            </w:rPr>
            <w:t>необходимо использовать формы</w:t>
          </w:r>
          <w:r w:rsidR="00E45592">
            <w:rPr>
              <w:rFonts w:eastAsia="Times New Roman" w:cs="Times New Roman"/>
              <w:szCs w:val="24"/>
              <w:lang w:eastAsia="ru-RU"/>
            </w:rPr>
            <w:t>:</w:t>
          </w:r>
        </w:p>
        <w:p w14:paraId="4A6D8594" w14:textId="77777777" w:rsidR="00E45592" w:rsidRPr="007115CD" w:rsidRDefault="00BD73B8" w:rsidP="00BD73B8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D73B8">
            <w:rPr>
              <w:rFonts w:eastAsia="Times New Roman" w:cs="Times New Roman"/>
              <w:szCs w:val="24"/>
              <w:lang w:eastAsia="ru-RU"/>
            </w:rPr>
            <w:lastRenderedPageBreak/>
            <w:t>платежного поручения согласно приложениям 2 и 3 СПР 2.03-1-2019 ”Банковская деятельность. Информационные технологии. Платежные инструкции клиентов. Часть 1. Электронные платежные поручения“</w:t>
          </w:r>
          <w:r w:rsidR="007115CD">
            <w:rPr>
              <w:rFonts w:eastAsia="Times New Roman" w:cs="Times New Roman"/>
              <w:szCs w:val="24"/>
              <w:lang w:eastAsia="ru-RU"/>
            </w:rPr>
            <w:t>;</w:t>
          </w:r>
        </w:p>
        <w:p w14:paraId="66AA53E2" w14:textId="77777777" w:rsidR="00BD73B8" w:rsidRPr="00BD73B8" w:rsidRDefault="00BD73B8" w:rsidP="00BD73B8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D73B8">
            <w:rPr>
              <w:rFonts w:eastAsia="Times New Roman" w:cs="Times New Roman"/>
              <w:szCs w:val="24"/>
              <w:lang w:eastAsia="ru-RU"/>
            </w:rPr>
            <w:t>платежного требования согласно приложению 2 СПР 2.03-2-2020 ”Банковская деятельность. Информационные технологии. Платежные инструкции клиентов. Часть 2. Электронные платежные требования“.</w:t>
          </w:r>
        </w:p>
        <w:p w14:paraId="2F60EC21" w14:textId="77777777" w:rsidR="00B20B92" w:rsidRDefault="00BD73B8" w:rsidP="00BD73B8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D73B8">
            <w:rPr>
              <w:rFonts w:eastAsia="Times New Roman" w:cs="Times New Roman"/>
              <w:szCs w:val="24"/>
              <w:lang w:eastAsia="ru-RU"/>
            </w:rPr>
            <w:t xml:space="preserve">При формировании </w:t>
          </w:r>
          <w:r w:rsidR="002F3ECC" w:rsidRPr="00BD73B8">
            <w:rPr>
              <w:rFonts w:eastAsia="Times New Roman" w:cs="Times New Roman"/>
              <w:szCs w:val="24"/>
              <w:lang w:eastAsia="ru-RU"/>
            </w:rPr>
            <w:t xml:space="preserve">платежной инструкции </w:t>
          </w:r>
          <w:r w:rsidR="00B13320">
            <w:rPr>
              <w:rFonts w:eastAsia="Times New Roman" w:cs="Times New Roman"/>
              <w:szCs w:val="24"/>
              <w:lang w:eastAsia="ru-RU"/>
            </w:rPr>
            <w:t>(</w:t>
          </w:r>
          <w:r w:rsidRPr="00BD73B8">
            <w:rPr>
              <w:rFonts w:eastAsia="Times New Roman" w:cs="Times New Roman"/>
              <w:szCs w:val="24"/>
              <w:lang w:eastAsia="ru-RU"/>
            </w:rPr>
            <w:t>платежного поручения, сводного платежного поручения</w:t>
          </w:r>
          <w:r w:rsidR="007115CD">
            <w:rPr>
              <w:rFonts w:eastAsia="Times New Roman" w:cs="Times New Roman"/>
              <w:szCs w:val="24"/>
              <w:lang w:eastAsia="ru-RU"/>
            </w:rPr>
            <w:t xml:space="preserve">, </w:t>
          </w:r>
          <w:r w:rsidR="007115CD" w:rsidRPr="007115CD">
            <w:rPr>
              <w:rFonts w:eastAsia="Times New Roman" w:cs="Times New Roman"/>
              <w:szCs w:val="24"/>
              <w:lang w:eastAsia="ru-RU"/>
            </w:rPr>
            <w:t>платежного требования</w:t>
          </w:r>
          <w:r w:rsidR="00B13320">
            <w:rPr>
              <w:rFonts w:eastAsia="Times New Roman" w:cs="Times New Roman"/>
              <w:szCs w:val="24"/>
              <w:lang w:eastAsia="ru-RU"/>
            </w:rPr>
            <w:t>)</w:t>
          </w:r>
          <w:r w:rsidRPr="00BD73B8">
            <w:rPr>
              <w:rFonts w:eastAsia="Times New Roman" w:cs="Times New Roman"/>
              <w:szCs w:val="24"/>
              <w:lang w:eastAsia="ru-RU"/>
            </w:rPr>
            <w:t xml:space="preserve"> в виде электронного документа (электронного сообщения) в формате </w:t>
          </w:r>
          <w:bookmarkStart w:id="2" w:name="_Hlk107407881"/>
          <w:r w:rsidRPr="00BD73B8">
            <w:rPr>
              <w:rFonts w:eastAsia="Times New Roman" w:cs="Times New Roman"/>
              <w:szCs w:val="24"/>
              <w:lang w:eastAsia="ru-RU"/>
            </w:rPr>
            <w:t>MX-сообщени</w:t>
          </w:r>
          <w:r w:rsidR="007115CD">
            <w:rPr>
              <w:rFonts w:eastAsia="Times New Roman" w:cs="Times New Roman"/>
              <w:szCs w:val="24"/>
              <w:lang w:eastAsia="ru-RU"/>
            </w:rPr>
            <w:t>й</w:t>
          </w:r>
          <w:r w:rsidRPr="00BD73B8">
            <w:rPr>
              <w:rFonts w:eastAsia="Times New Roman" w:cs="Times New Roman"/>
              <w:szCs w:val="24"/>
              <w:lang w:eastAsia="ru-RU"/>
            </w:rPr>
            <w:t xml:space="preserve"> </w:t>
          </w:r>
          <w:r w:rsidR="00B20B92">
            <w:rPr>
              <w:rFonts w:eastAsia="Times New Roman" w:cs="Times New Roman"/>
              <w:szCs w:val="24"/>
              <w:lang w:eastAsia="ru-RU"/>
            </w:rPr>
            <w:t>(</w:t>
          </w:r>
          <w:r w:rsidR="00B20B92">
            <w:rPr>
              <w:rFonts w:eastAsia="Times New Roman" w:cs="Times New Roman"/>
              <w:szCs w:val="24"/>
              <w:lang w:val="en-US" w:eastAsia="ru-RU"/>
            </w:rPr>
            <w:t>MX </w:t>
          </w:r>
          <w:r w:rsidRPr="00BD73B8">
            <w:rPr>
              <w:rFonts w:eastAsia="Times New Roman" w:cs="Times New Roman"/>
              <w:szCs w:val="24"/>
              <w:lang w:eastAsia="ru-RU"/>
            </w:rPr>
            <w:t>pain.001</w:t>
          </w:r>
          <w:r w:rsidR="007115CD">
            <w:rPr>
              <w:rFonts w:eastAsia="Times New Roman" w:cs="Times New Roman"/>
              <w:szCs w:val="24"/>
              <w:lang w:eastAsia="ru-RU"/>
            </w:rPr>
            <w:t xml:space="preserve">, </w:t>
          </w:r>
          <w:r w:rsidR="00B20B92">
            <w:rPr>
              <w:rFonts w:eastAsia="Times New Roman" w:cs="Times New Roman"/>
              <w:szCs w:val="24"/>
              <w:lang w:val="en-US" w:eastAsia="ru-RU"/>
            </w:rPr>
            <w:t>MX </w:t>
          </w:r>
          <w:r w:rsidR="007115CD" w:rsidRPr="007115CD">
            <w:rPr>
              <w:rFonts w:eastAsia="Times New Roman" w:cs="Times New Roman"/>
              <w:szCs w:val="24"/>
              <w:lang w:eastAsia="ru-RU"/>
            </w:rPr>
            <w:t>pain.013</w:t>
          </w:r>
          <w:r w:rsidR="00B20B92">
            <w:rPr>
              <w:rFonts w:eastAsia="Times New Roman" w:cs="Times New Roman"/>
              <w:szCs w:val="24"/>
              <w:lang w:eastAsia="ru-RU"/>
            </w:rPr>
            <w:t>,</w:t>
          </w:r>
          <w:r w:rsidR="007115CD" w:rsidRPr="007115CD">
            <w:rPr>
              <w:rFonts w:eastAsia="Times New Roman" w:cs="Times New Roman"/>
              <w:szCs w:val="24"/>
              <w:lang w:eastAsia="ru-RU"/>
            </w:rPr>
            <w:t xml:space="preserve"> </w:t>
          </w:r>
          <w:r w:rsidR="00B20B92">
            <w:rPr>
              <w:rFonts w:eastAsia="Times New Roman" w:cs="Times New Roman"/>
              <w:szCs w:val="24"/>
              <w:lang w:val="en-US" w:eastAsia="ru-RU"/>
            </w:rPr>
            <w:t>MX </w:t>
          </w:r>
          <w:r w:rsidR="007115CD" w:rsidRPr="007115CD">
            <w:rPr>
              <w:rFonts w:eastAsia="Times New Roman" w:cs="Times New Roman"/>
              <w:szCs w:val="24"/>
              <w:lang w:eastAsia="ru-RU"/>
            </w:rPr>
            <w:t>pain.008)</w:t>
          </w:r>
          <w:bookmarkEnd w:id="2"/>
          <w:r w:rsidR="00B20B92">
            <w:rPr>
              <w:rFonts w:eastAsia="Times New Roman" w:cs="Times New Roman"/>
              <w:szCs w:val="24"/>
              <w:lang w:eastAsia="ru-RU"/>
            </w:rPr>
            <w:t xml:space="preserve">, а также при </w:t>
          </w:r>
          <w:r w:rsidR="00B20B92" w:rsidRPr="00B20B92">
            <w:rPr>
              <w:rFonts w:eastAsia="Times New Roman" w:cs="Times New Roman"/>
              <w:szCs w:val="24"/>
              <w:lang w:eastAsia="ru-RU"/>
            </w:rPr>
            <w:t xml:space="preserve">воспроизведении </w:t>
          </w:r>
          <w:r w:rsidR="00B13320">
            <w:rPr>
              <w:rFonts w:eastAsia="Times New Roman" w:cs="Times New Roman"/>
              <w:szCs w:val="24"/>
              <w:lang w:eastAsia="ru-RU"/>
            </w:rPr>
            <w:t xml:space="preserve">такого </w:t>
          </w:r>
          <w:r w:rsidR="002F3ECC" w:rsidRPr="00BD73B8">
            <w:rPr>
              <w:rFonts w:eastAsia="Times New Roman" w:cs="Times New Roman"/>
              <w:szCs w:val="24"/>
              <w:lang w:eastAsia="ru-RU"/>
            </w:rPr>
            <w:t xml:space="preserve">электронного документа (электронного сообщения) </w:t>
          </w:r>
          <w:r w:rsidR="00B20B92" w:rsidRPr="00B20B92">
            <w:rPr>
              <w:rFonts w:eastAsia="Times New Roman" w:cs="Times New Roman"/>
              <w:szCs w:val="24"/>
              <w:lang w:eastAsia="ru-RU"/>
            </w:rPr>
            <w:t xml:space="preserve">на бумажном носителе </w:t>
          </w:r>
          <w:r w:rsidR="00B20B92">
            <w:rPr>
              <w:rFonts w:eastAsia="Times New Roman" w:cs="Times New Roman"/>
              <w:szCs w:val="24"/>
              <w:lang w:eastAsia="ru-RU"/>
            </w:rPr>
            <w:t xml:space="preserve">необходимо </w:t>
          </w:r>
          <w:r w:rsidRPr="00BD73B8">
            <w:rPr>
              <w:rFonts w:eastAsia="Times New Roman" w:cs="Times New Roman"/>
              <w:szCs w:val="24"/>
              <w:lang w:eastAsia="ru-RU"/>
            </w:rPr>
            <w:t>использ</w:t>
          </w:r>
          <w:r w:rsidR="00B20B92">
            <w:rPr>
              <w:rFonts w:eastAsia="Times New Roman" w:cs="Times New Roman"/>
              <w:szCs w:val="24"/>
              <w:lang w:eastAsia="ru-RU"/>
            </w:rPr>
            <w:t>овать</w:t>
          </w:r>
          <w:r>
            <w:rPr>
              <w:rFonts w:eastAsia="Times New Roman" w:cs="Times New Roman"/>
              <w:szCs w:val="24"/>
              <w:lang w:eastAsia="ru-RU"/>
            </w:rPr>
            <w:t xml:space="preserve"> </w:t>
          </w:r>
          <w:r w:rsidR="007115CD">
            <w:rPr>
              <w:rFonts w:eastAsia="Times New Roman" w:cs="Times New Roman"/>
              <w:szCs w:val="24"/>
              <w:lang w:eastAsia="ru-RU"/>
            </w:rPr>
            <w:t>следующие стандарты проведения расчетов и технические документы</w:t>
          </w:r>
          <w:r w:rsidR="00B20B92">
            <w:rPr>
              <w:rFonts w:eastAsia="Times New Roman" w:cs="Times New Roman"/>
              <w:szCs w:val="24"/>
              <w:lang w:eastAsia="ru-RU"/>
            </w:rPr>
            <w:t>:</w:t>
          </w:r>
        </w:p>
        <w:p w14:paraId="344F7E76" w14:textId="77777777" w:rsidR="00B20B92" w:rsidRDefault="00BD73B8" w:rsidP="00BD73B8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D73B8">
            <w:rPr>
              <w:rFonts w:eastAsia="Times New Roman" w:cs="Times New Roman"/>
              <w:szCs w:val="24"/>
              <w:lang w:eastAsia="ru-RU"/>
            </w:rPr>
            <w:t>СПР 3.02-1-2022 ”Банковская деятельность. Информационные технологии. Финансовые сообщения, используемые при переводе денежных средств. Инициирование перевода. МХ pain.001“ (проект)</w:t>
          </w:r>
          <w:r w:rsidR="00B20B92">
            <w:rPr>
              <w:rFonts w:eastAsia="Times New Roman" w:cs="Times New Roman"/>
              <w:szCs w:val="24"/>
              <w:lang w:eastAsia="ru-RU"/>
            </w:rPr>
            <w:t>;</w:t>
          </w:r>
        </w:p>
        <w:p w14:paraId="68B351DA" w14:textId="77777777" w:rsidR="00B20B92" w:rsidRDefault="00B20B92" w:rsidP="00BD73B8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20B92">
            <w:rPr>
              <w:rFonts w:eastAsia="Times New Roman" w:cs="Times New Roman"/>
              <w:szCs w:val="24"/>
              <w:lang w:eastAsia="ru-RU"/>
            </w:rPr>
            <w:t>СПР 3.02-13-2022 ”Банковская деятельность. Информационные технологии. Финансовые сообщения, используемые при переводе денежных средств. Инициирование перевода. МХ pain.013“ (проект)</w:t>
          </w:r>
          <w:r>
            <w:rPr>
              <w:rFonts w:eastAsia="Times New Roman" w:cs="Times New Roman"/>
              <w:szCs w:val="24"/>
              <w:lang w:eastAsia="ru-RU"/>
            </w:rPr>
            <w:t>;</w:t>
          </w:r>
        </w:p>
        <w:p w14:paraId="425801FF" w14:textId="77777777" w:rsidR="00B20B92" w:rsidRDefault="00B20B92" w:rsidP="00BD73B8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20B92">
            <w:rPr>
              <w:rFonts w:eastAsia="Times New Roman" w:cs="Times New Roman"/>
              <w:szCs w:val="24"/>
              <w:lang w:eastAsia="ru-RU"/>
            </w:rPr>
            <w:t>СПР 3.04-81-2022 ”Банковская деятельность. Информационные технологии. Финансовые сообщения, используемые в СДБО при переводе денежных средств по инициативе взыскателя. МХ pain.008“ (проект)</w:t>
          </w:r>
          <w:r>
            <w:rPr>
              <w:rFonts w:eastAsia="Times New Roman" w:cs="Times New Roman"/>
              <w:szCs w:val="24"/>
              <w:lang w:eastAsia="ru-RU"/>
            </w:rPr>
            <w:t>;</w:t>
          </w:r>
        </w:p>
        <w:p w14:paraId="45515965" w14:textId="77777777" w:rsidR="006C3C1C" w:rsidRDefault="00B20B92" w:rsidP="00BD73B8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>
            <w:rPr>
              <w:rFonts w:eastAsia="Times New Roman" w:cs="Times New Roman"/>
              <w:szCs w:val="24"/>
              <w:lang w:eastAsia="ru-RU"/>
            </w:rPr>
            <w:t>т</w:t>
          </w:r>
          <w:r w:rsidR="00BD73B8" w:rsidRPr="00BD73B8">
            <w:rPr>
              <w:rFonts w:eastAsia="Times New Roman" w:cs="Times New Roman"/>
              <w:szCs w:val="24"/>
              <w:lang w:eastAsia="ru-RU"/>
            </w:rPr>
            <w:t>ехническ</w:t>
          </w:r>
          <w:r>
            <w:rPr>
              <w:rFonts w:eastAsia="Times New Roman" w:cs="Times New Roman"/>
              <w:szCs w:val="24"/>
              <w:lang w:eastAsia="ru-RU"/>
            </w:rPr>
            <w:t>ий</w:t>
          </w:r>
          <w:r w:rsidR="00BD73B8" w:rsidRPr="00BD73B8">
            <w:rPr>
              <w:rFonts w:eastAsia="Times New Roman" w:cs="Times New Roman"/>
              <w:szCs w:val="24"/>
              <w:lang w:eastAsia="ru-RU"/>
            </w:rPr>
            <w:t xml:space="preserve"> документ ”Применение методологии стандарта ISO</w:t>
          </w:r>
          <w:r>
            <w:rPr>
              <w:rFonts w:eastAsia="Times New Roman" w:cs="Times New Roman"/>
              <w:szCs w:val="24"/>
              <w:lang w:eastAsia="ru-RU"/>
            </w:rPr>
            <w:t> </w:t>
          </w:r>
          <w:r w:rsidR="00BD73B8" w:rsidRPr="00BD73B8">
            <w:rPr>
              <w:rFonts w:eastAsia="Times New Roman" w:cs="Times New Roman"/>
              <w:szCs w:val="24"/>
              <w:lang w:eastAsia="ru-RU"/>
            </w:rPr>
            <w:t xml:space="preserve">20022 в платежной системе Республики Беларусь. Формы внешнего представления на бумажном носителе финансовых сообщений, используемых в системах дистанционного банковского обслуживания. MX pain.001 ”Инициирование кредитового перевода клиентом“. MX pain.013 ”Инициирование дебетового перевода с акцептом плательщика (платежное требование с акцептом плательщика)“. </w:t>
          </w:r>
        </w:p>
        <w:p w14:paraId="5CDF55A6" w14:textId="77777777" w:rsidR="00B20B92" w:rsidRDefault="00BD73B8" w:rsidP="00BD73B8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D73B8">
            <w:rPr>
              <w:rFonts w:eastAsia="Times New Roman" w:cs="Times New Roman"/>
              <w:szCs w:val="24"/>
              <w:lang w:eastAsia="ru-RU"/>
            </w:rPr>
            <w:t xml:space="preserve">При формировании </w:t>
          </w:r>
          <w:r w:rsidR="00B13320" w:rsidRPr="00BD73B8">
            <w:rPr>
              <w:rFonts w:eastAsia="Times New Roman" w:cs="Times New Roman"/>
              <w:szCs w:val="24"/>
              <w:lang w:eastAsia="ru-RU"/>
            </w:rPr>
            <w:t xml:space="preserve">платежной инструкции </w:t>
          </w:r>
          <w:r w:rsidR="00B13320">
            <w:rPr>
              <w:rFonts w:eastAsia="Times New Roman" w:cs="Times New Roman"/>
              <w:szCs w:val="24"/>
              <w:lang w:eastAsia="ru-RU"/>
            </w:rPr>
            <w:t>(</w:t>
          </w:r>
          <w:r w:rsidRPr="00BD73B8">
            <w:rPr>
              <w:rFonts w:eastAsia="Times New Roman" w:cs="Times New Roman"/>
              <w:szCs w:val="24"/>
              <w:lang w:eastAsia="ru-RU"/>
            </w:rPr>
            <w:t>платежного поручения, сводного платежного поручения и платежного требования</w:t>
          </w:r>
          <w:r w:rsidR="00B13320">
            <w:rPr>
              <w:rFonts w:eastAsia="Times New Roman" w:cs="Times New Roman"/>
              <w:szCs w:val="24"/>
              <w:lang w:eastAsia="ru-RU"/>
            </w:rPr>
            <w:t>)</w:t>
          </w:r>
          <w:r w:rsidRPr="00BD73B8">
            <w:rPr>
              <w:rFonts w:eastAsia="Times New Roman" w:cs="Times New Roman"/>
              <w:szCs w:val="24"/>
              <w:lang w:eastAsia="ru-RU"/>
            </w:rPr>
            <w:t xml:space="preserve"> в виде электронного документа (электронного сообщения) в формате, отличном от</w:t>
          </w:r>
          <w:r w:rsidR="00B20B92">
            <w:rPr>
              <w:rFonts w:eastAsia="Times New Roman" w:cs="Times New Roman"/>
              <w:szCs w:val="24"/>
              <w:lang w:eastAsia="ru-RU"/>
            </w:rPr>
            <w:t xml:space="preserve"> </w:t>
          </w:r>
          <w:r w:rsidR="00B20B92" w:rsidRPr="00B20B92">
            <w:rPr>
              <w:rFonts w:eastAsia="Times New Roman" w:cs="Times New Roman"/>
              <w:szCs w:val="24"/>
              <w:lang w:eastAsia="ru-RU"/>
            </w:rPr>
            <w:t>MX-сообщений</w:t>
          </w:r>
          <w:r w:rsidR="00B20B92">
            <w:rPr>
              <w:rFonts w:eastAsia="Times New Roman" w:cs="Times New Roman"/>
              <w:szCs w:val="24"/>
              <w:lang w:eastAsia="ru-RU"/>
            </w:rPr>
            <w:t xml:space="preserve">, а также при воспроизведении </w:t>
          </w:r>
          <w:r w:rsidR="00B13320">
            <w:rPr>
              <w:rFonts w:eastAsia="Times New Roman" w:cs="Times New Roman"/>
              <w:szCs w:val="24"/>
              <w:lang w:eastAsia="ru-RU"/>
            </w:rPr>
            <w:t xml:space="preserve">такого </w:t>
          </w:r>
          <w:r w:rsidR="00B13320" w:rsidRPr="00BD73B8">
            <w:rPr>
              <w:rFonts w:eastAsia="Times New Roman" w:cs="Times New Roman"/>
              <w:szCs w:val="24"/>
              <w:lang w:eastAsia="ru-RU"/>
            </w:rPr>
            <w:t>электронного документа (электронного сообщения)</w:t>
          </w:r>
          <w:r w:rsidR="00B13320">
            <w:rPr>
              <w:rFonts w:eastAsia="Times New Roman" w:cs="Times New Roman"/>
              <w:szCs w:val="24"/>
              <w:lang w:eastAsia="ru-RU"/>
            </w:rPr>
            <w:t xml:space="preserve"> </w:t>
          </w:r>
          <w:r w:rsidR="00B20B92">
            <w:rPr>
              <w:rFonts w:eastAsia="Times New Roman" w:cs="Times New Roman"/>
              <w:szCs w:val="24"/>
              <w:lang w:eastAsia="ru-RU"/>
            </w:rPr>
            <w:t>на бумажном носителе</w:t>
          </w:r>
          <w:r w:rsidR="00B20B92" w:rsidRPr="00B20B92">
            <w:rPr>
              <w:rFonts w:eastAsia="Times New Roman" w:cs="Times New Roman"/>
              <w:szCs w:val="24"/>
              <w:lang w:eastAsia="ru-RU"/>
            </w:rPr>
            <w:t xml:space="preserve"> </w:t>
          </w:r>
          <w:r w:rsidRPr="00BD73B8">
            <w:rPr>
              <w:rFonts w:eastAsia="Times New Roman" w:cs="Times New Roman"/>
              <w:szCs w:val="24"/>
              <w:lang w:eastAsia="ru-RU"/>
            </w:rPr>
            <w:t xml:space="preserve">необходимо использовать </w:t>
          </w:r>
          <w:r w:rsidR="00B20B92">
            <w:rPr>
              <w:rFonts w:eastAsia="Times New Roman" w:cs="Times New Roman"/>
              <w:szCs w:val="24"/>
              <w:lang w:eastAsia="ru-RU"/>
            </w:rPr>
            <w:t>следующие стандарты проведения расчетов:</w:t>
          </w:r>
        </w:p>
        <w:p w14:paraId="7EE5B8F6" w14:textId="77777777" w:rsidR="00B20B92" w:rsidRDefault="00BD73B8" w:rsidP="00BD73B8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D73B8">
            <w:rPr>
              <w:rFonts w:eastAsia="Times New Roman" w:cs="Times New Roman"/>
              <w:szCs w:val="24"/>
              <w:lang w:eastAsia="ru-RU"/>
            </w:rPr>
            <w:t>СПР 2.03-1-2019 ”Банковская деятельность. Информационные технологии. Платежные инструкции клиентов. Часть 1. Электронные платежные поручения“</w:t>
          </w:r>
          <w:r w:rsidR="00B20B92">
            <w:rPr>
              <w:rFonts w:eastAsia="Times New Roman" w:cs="Times New Roman"/>
              <w:szCs w:val="24"/>
              <w:lang w:eastAsia="ru-RU"/>
            </w:rPr>
            <w:t>;</w:t>
          </w:r>
        </w:p>
        <w:p w14:paraId="4DF5B8A4" w14:textId="77777777" w:rsidR="00B20B92" w:rsidRDefault="00BD73B8" w:rsidP="00BD73B8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D73B8">
            <w:rPr>
              <w:rFonts w:eastAsia="Times New Roman" w:cs="Times New Roman"/>
              <w:szCs w:val="24"/>
              <w:lang w:eastAsia="ru-RU"/>
            </w:rPr>
            <w:t>СПР 2.03-2-2020 ”Банковская деятельность. Информационные технологии. Платежные инструкции клиентов. Часть 2. Электронные платежные требования“</w:t>
          </w:r>
          <w:r w:rsidR="00B20B92">
            <w:rPr>
              <w:rFonts w:eastAsia="Times New Roman" w:cs="Times New Roman"/>
              <w:szCs w:val="24"/>
              <w:lang w:eastAsia="ru-RU"/>
            </w:rPr>
            <w:t>;</w:t>
          </w:r>
        </w:p>
        <w:p w14:paraId="66B94E68" w14:textId="77777777" w:rsidR="00BD73B8" w:rsidRDefault="00BD73B8" w:rsidP="00BD73B8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D73B8">
            <w:rPr>
              <w:rFonts w:eastAsia="Times New Roman" w:cs="Times New Roman"/>
              <w:szCs w:val="24"/>
              <w:lang w:eastAsia="ru-RU"/>
            </w:rPr>
            <w:lastRenderedPageBreak/>
            <w:t>СПР 2.03-3-2020 ”Банковская деятельность. Информационные технологии. Платежные инструкции клиентов. Часть 3. Сводные электронные платежные поручения“.</w:t>
          </w:r>
        </w:p>
        <w:p w14:paraId="6E01DC05" w14:textId="77777777" w:rsidR="00BD73B8" w:rsidRPr="005C0968" w:rsidRDefault="00BD73B8" w:rsidP="00BD73B8">
          <w:pPr>
            <w:jc w:val="both"/>
            <w:rPr>
              <w:rFonts w:eastAsia="Times New Roman" w:cs="Times New Roman"/>
              <w:b/>
              <w:i/>
              <w:sz w:val="26"/>
              <w:szCs w:val="26"/>
              <w:lang w:eastAsia="ru-RU"/>
            </w:rPr>
          </w:pPr>
          <w:r w:rsidRPr="005C0968">
            <w:rPr>
              <w:rFonts w:eastAsia="Times New Roman" w:cs="Times New Roman"/>
              <w:b/>
              <w:i/>
              <w:sz w:val="26"/>
              <w:szCs w:val="26"/>
              <w:lang w:eastAsia="ru-RU"/>
            </w:rPr>
            <w:t>Справочно:</w:t>
          </w:r>
        </w:p>
        <w:p w14:paraId="5862AFC4" w14:textId="77777777" w:rsidR="00BD73B8" w:rsidRPr="00BD73B8" w:rsidRDefault="00BD73B8" w:rsidP="006B3E4A">
          <w:pPr>
            <w:ind w:left="709"/>
            <w:jc w:val="both"/>
            <w:rPr>
              <w:rFonts w:eastAsia="Times New Roman" w:cs="Times New Roman"/>
              <w:i/>
              <w:sz w:val="26"/>
              <w:szCs w:val="26"/>
              <w:lang w:eastAsia="ru-RU"/>
            </w:rPr>
          </w:pPr>
          <w:r w:rsidRPr="005C0968">
            <w:rPr>
              <w:rFonts w:eastAsia="Times New Roman" w:cs="Times New Roman"/>
              <w:i/>
              <w:sz w:val="26"/>
              <w:szCs w:val="26"/>
              <w:lang w:eastAsia="ru-RU"/>
            </w:rPr>
            <w:t xml:space="preserve">В приложении представлена таблица, содержащая </w:t>
          </w:r>
          <w:r w:rsidR="00B13320">
            <w:rPr>
              <w:rFonts w:eastAsia="Times New Roman" w:cs="Times New Roman"/>
              <w:i/>
              <w:sz w:val="26"/>
              <w:szCs w:val="26"/>
              <w:lang w:eastAsia="ru-RU"/>
            </w:rPr>
            <w:t xml:space="preserve">перечень </w:t>
          </w:r>
          <w:r w:rsidRPr="005C0968">
            <w:rPr>
              <w:rFonts w:eastAsia="Times New Roman" w:cs="Times New Roman"/>
              <w:i/>
              <w:sz w:val="26"/>
              <w:szCs w:val="26"/>
              <w:lang w:eastAsia="ru-RU"/>
            </w:rPr>
            <w:t>используемы</w:t>
          </w:r>
          <w:r w:rsidR="00B13320">
            <w:rPr>
              <w:rFonts w:eastAsia="Times New Roman" w:cs="Times New Roman"/>
              <w:i/>
              <w:sz w:val="26"/>
              <w:szCs w:val="26"/>
              <w:lang w:eastAsia="ru-RU"/>
            </w:rPr>
            <w:t>х</w:t>
          </w:r>
          <w:r w:rsidRPr="005C0968">
            <w:rPr>
              <w:rFonts w:eastAsia="Times New Roman" w:cs="Times New Roman"/>
              <w:i/>
              <w:sz w:val="26"/>
              <w:szCs w:val="26"/>
              <w:lang w:eastAsia="ru-RU"/>
            </w:rPr>
            <w:t xml:space="preserve"> документ</w:t>
          </w:r>
          <w:r w:rsidR="00B13320">
            <w:rPr>
              <w:rFonts w:eastAsia="Times New Roman" w:cs="Times New Roman"/>
              <w:i/>
              <w:sz w:val="26"/>
              <w:szCs w:val="26"/>
              <w:lang w:eastAsia="ru-RU"/>
            </w:rPr>
            <w:t>ов</w:t>
          </w:r>
          <w:r w:rsidR="00412957" w:rsidRPr="005C0968">
            <w:rPr>
              <w:rFonts w:eastAsia="Times New Roman" w:cs="Times New Roman"/>
              <w:i/>
              <w:sz w:val="26"/>
              <w:szCs w:val="26"/>
              <w:lang w:eastAsia="ru-RU"/>
            </w:rPr>
            <w:t xml:space="preserve"> при формировании платежных инструкций в виде электронных документов (электронных сообщений)</w:t>
          </w:r>
          <w:r w:rsidR="00B13320">
            <w:rPr>
              <w:rFonts w:eastAsia="Times New Roman" w:cs="Times New Roman"/>
              <w:i/>
              <w:sz w:val="26"/>
              <w:szCs w:val="26"/>
              <w:lang w:eastAsia="ru-RU"/>
            </w:rPr>
            <w:t xml:space="preserve"> и </w:t>
          </w:r>
          <w:r w:rsidR="00412957" w:rsidRPr="005C0968">
            <w:rPr>
              <w:rFonts w:eastAsia="Times New Roman" w:cs="Times New Roman"/>
              <w:i/>
              <w:sz w:val="26"/>
              <w:szCs w:val="26"/>
              <w:lang w:eastAsia="ru-RU"/>
            </w:rPr>
            <w:t>на бумажном носителе</w:t>
          </w:r>
          <w:r w:rsidR="00B13320">
            <w:rPr>
              <w:rFonts w:eastAsia="Times New Roman" w:cs="Times New Roman"/>
              <w:i/>
              <w:sz w:val="26"/>
              <w:szCs w:val="26"/>
              <w:lang w:eastAsia="ru-RU"/>
            </w:rPr>
            <w:t>.</w:t>
          </w:r>
        </w:p>
        <w:p w14:paraId="5CFDC718" w14:textId="69899739" w:rsidR="006E3C15" w:rsidRDefault="00BD73B8" w:rsidP="00BD73B8">
          <w:pPr>
            <w:ind w:firstLine="709"/>
            <w:jc w:val="both"/>
            <w:rPr>
              <w:rFonts w:eastAsia="Times New Roman" w:cs="Times New Roman"/>
              <w:szCs w:val="24"/>
              <w:lang w:eastAsia="ru-RU"/>
            </w:rPr>
          </w:pPr>
          <w:r w:rsidRPr="00BD73B8">
            <w:rPr>
              <w:rFonts w:eastAsia="Times New Roman" w:cs="Times New Roman"/>
              <w:szCs w:val="24"/>
              <w:lang w:eastAsia="ru-RU"/>
            </w:rPr>
            <w:t>Просим довести указанную информацию до сведения клиентов</w:t>
          </w:r>
          <w:r w:rsidR="00103757">
            <w:rPr>
              <w:rFonts w:eastAsia="Times New Roman" w:cs="Times New Roman"/>
              <w:szCs w:val="24"/>
              <w:lang w:eastAsia="ru-RU"/>
            </w:rPr>
            <w:t xml:space="preserve"> и сообщить</w:t>
          </w:r>
          <w:r w:rsidR="00103757" w:rsidRPr="00103757">
            <w:rPr>
              <w:rFonts w:eastAsia="Times New Roman" w:cs="Times New Roman"/>
              <w:szCs w:val="24"/>
              <w:lang w:eastAsia="ru-RU"/>
            </w:rPr>
            <w:t xml:space="preserve"> о проведенной работе по информированию клиентов в срок до </w:t>
          </w:r>
          <w:r w:rsidR="00103757">
            <w:rPr>
              <w:rFonts w:eastAsia="Times New Roman" w:cs="Times New Roman"/>
              <w:szCs w:val="24"/>
              <w:lang w:eastAsia="ru-RU"/>
            </w:rPr>
            <w:t>11</w:t>
          </w:r>
          <w:r w:rsidR="00103757" w:rsidRPr="00103757">
            <w:rPr>
              <w:rFonts w:eastAsia="Times New Roman" w:cs="Times New Roman"/>
              <w:szCs w:val="24"/>
              <w:lang w:eastAsia="ru-RU"/>
            </w:rPr>
            <w:t>.07.2022 г.</w:t>
          </w:r>
        </w:p>
      </w:sdtContent>
    </w:sdt>
    <w:p w14:paraId="0ECBDC35" w14:textId="77777777" w:rsidR="003465A2" w:rsidRPr="003465A2" w:rsidRDefault="003465A2" w:rsidP="003465A2">
      <w:pPr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sdt>
      <w:sdtPr>
        <w:rPr>
          <w:rFonts w:eastAsia="Calibri" w:cs="Times New Roman"/>
        </w:rPr>
        <w:alias w:val="Приложение"/>
        <w:tag w:val="Приложение"/>
        <w:id w:val="21853449"/>
        <w:placeholder>
          <w:docPart w:val="97FB7D73C36345CA87750A2838A7ED76"/>
        </w:placeholder>
      </w:sdtPr>
      <w:sdtEndPr/>
      <w:sdtContent>
        <w:p w14:paraId="3DCB93BA" w14:textId="77777777" w:rsidR="006E3C15" w:rsidRDefault="00BD73B8">
          <w:pPr>
            <w:spacing w:line="360" w:lineRule="auto"/>
            <w:rPr>
              <w:rFonts w:eastAsia="Calibri" w:cs="Times New Roman"/>
            </w:rPr>
          </w:pPr>
          <w:r>
            <w:rPr>
              <w:rFonts w:eastAsia="Calibri" w:cs="Times New Roman"/>
            </w:rPr>
            <w:t>Приложение: на 1 л. в 1 экз.</w:t>
          </w:r>
        </w:p>
      </w:sdtContent>
    </w:sdt>
    <w:sdt>
      <w:sdtPr>
        <w:rPr>
          <w:rFonts w:eastAsia="Times New Roman" w:cs="Times New Roman"/>
          <w:lang w:eastAsia="ru-RU"/>
        </w:rPr>
        <w:alias w:val="Таблица подписей &quot;Подписано&quot;(tableSignsSigned)"/>
        <w:tag w:val="tableSignsSigned(id=subscribe_note_smdo)"/>
        <w:id w:val="3414181"/>
        <w:lock w:val="sdtContentLocked"/>
        <w:placeholder>
          <w:docPart w:val="A6A03636B9FF49119B12854FC2BB01B4"/>
        </w:placeholder>
      </w:sdtPr>
      <w:sdtEndPr/>
      <w:sdtContent>
        <w:p w14:paraId="45EF226F" w14:textId="77777777" w:rsidR="00F30BC2" w:rsidRPr="00F30BC2" w:rsidRDefault="00F30BC2" w:rsidP="00F30BC2">
          <w:pPr>
            <w:rPr>
              <w:rFonts w:eastAsia="Times New Roman" w:cs="Times New Roman"/>
              <w:lang w:eastAsia="ru-RU"/>
            </w:rPr>
          </w:pPr>
          <w:r w:rsidRPr="00F30BC2">
            <w:rPr>
              <w:rFonts w:eastAsia="Times New Roman" w:cs="Times New Roman"/>
              <w:lang w:eastAsia="ru-RU"/>
            </w:rPr>
            <w:t xml:space="preserve"> </w:t>
          </w:r>
        </w:p>
      </w:sdtContent>
    </w:sdt>
    <w:p w14:paraId="0208CA54" w14:textId="77777777" w:rsidR="00E65EE2" w:rsidRPr="009F25C7" w:rsidRDefault="00E65EE2" w:rsidP="000846CB">
      <w:pPr>
        <w:spacing w:line="360" w:lineRule="auto"/>
        <w:rPr>
          <w:rFonts w:eastAsia="Times New Roman" w:cs="Times New Roman"/>
          <w:lang w:eastAsia="ru-RU"/>
        </w:rPr>
      </w:pPr>
    </w:p>
    <w:p w14:paraId="2646AF5D" w14:textId="77777777" w:rsidR="00B462D1" w:rsidRPr="00665CD3" w:rsidRDefault="00236B82" w:rsidP="00B462D1">
      <w:sdt>
        <w:sdtPr>
          <w:alias w:val="Таблица подписей &quot;Согласовано&quot;(tableSignsAgreed)"/>
          <w:tag w:val="tableSignsAgreed"/>
          <w:id w:val="352680704"/>
          <w:lock w:val="sdtContentLocked"/>
          <w:placeholder>
            <w:docPart w:val="BC25931F0F434C509635A397B08EB033"/>
          </w:placeholder>
          <w:showingPlcHdr/>
        </w:sdtPr>
        <w:sdtEndPr/>
        <w:sdtContent>
          <w:r w:rsidR="000846CB" w:rsidRPr="000846CB">
            <w:t xml:space="preserve"> </w:t>
          </w:r>
        </w:sdtContent>
      </w:sdt>
    </w:p>
    <w:p w14:paraId="00C25B22" w14:textId="77777777" w:rsidR="006C090F" w:rsidRDefault="006C090F" w:rsidP="00B462D1"/>
    <w:p w14:paraId="3B2ED163" w14:textId="77777777" w:rsidR="006C090F" w:rsidRDefault="006C090F" w:rsidP="00B462D1"/>
    <w:p w14:paraId="0E2398FD" w14:textId="77777777" w:rsidR="006C090F" w:rsidRDefault="006C090F" w:rsidP="00B462D1"/>
    <w:p w14:paraId="06B0CE92" w14:textId="77777777" w:rsidR="006C090F" w:rsidRDefault="006C090F" w:rsidP="00B462D1"/>
    <w:p w14:paraId="47F17468" w14:textId="77777777" w:rsidR="006C090F" w:rsidRDefault="006C090F" w:rsidP="00B462D1"/>
    <w:p w14:paraId="150B8A8F" w14:textId="77777777" w:rsidR="006C090F" w:rsidRDefault="006C090F" w:rsidP="00B462D1"/>
    <w:p w14:paraId="76CF3C14" w14:textId="77777777" w:rsidR="00E851A2" w:rsidRDefault="00E851A2" w:rsidP="00B462D1"/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4028"/>
        <w:gridCol w:w="5502"/>
      </w:tblGrid>
      <w:tr w:rsidR="006C090F" w14:paraId="5638C386" w14:textId="77777777" w:rsidTr="006C090F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 w:val="18"/>
                <w:szCs w:val="18"/>
              </w:rPr>
              <w:alias w:val="Исполнитель"/>
              <w:tag w:val="Исполнитель"/>
              <w:id w:val="880719431"/>
              <w:lock w:val="sdtLocked"/>
            </w:sdtPr>
            <w:sdtEndPr/>
            <w:sdtContent>
              <w:sdt>
                <w:sdtPr>
                  <w:rPr>
                    <w:sz w:val="18"/>
                    <w:szCs w:val="18"/>
                  </w:rPr>
                  <w:alias w:val="Исполнитель"/>
                  <w:tag w:val="Исполнитель"/>
                  <w:id w:val="629681728"/>
                </w:sdtPr>
                <w:sdtEndPr/>
                <w:sdtContent>
                  <w:p w14:paraId="0740CAF2" w14:textId="308F3AFC" w:rsidR="00BD73B8" w:rsidRPr="00942931" w:rsidRDefault="00BD73B8" w:rsidP="00BD73B8">
                    <w:pPr>
                      <w:spacing w:line="180" w:lineRule="exact"/>
                      <w:rPr>
                        <w:sz w:val="18"/>
                        <w:szCs w:val="18"/>
                      </w:rPr>
                    </w:pPr>
                    <w:r w:rsidRPr="00942931">
                      <w:rPr>
                        <w:sz w:val="18"/>
                        <w:szCs w:val="18"/>
                      </w:rPr>
                      <w:t>03 Раков 215</w:t>
                    </w:r>
                    <w:r w:rsidR="00595694">
                      <w:rPr>
                        <w:sz w:val="18"/>
                        <w:szCs w:val="18"/>
                      </w:rPr>
                      <w:t xml:space="preserve"> </w:t>
                    </w:r>
                    <w:r w:rsidRPr="00942931">
                      <w:rPr>
                        <w:sz w:val="18"/>
                        <w:szCs w:val="18"/>
                      </w:rPr>
                      <w:t>44</w:t>
                    </w:r>
                    <w:r w:rsidR="00595694">
                      <w:rPr>
                        <w:sz w:val="18"/>
                        <w:szCs w:val="18"/>
                      </w:rPr>
                      <w:t xml:space="preserve"> </w:t>
                    </w:r>
                    <w:r w:rsidRPr="00942931">
                      <w:rPr>
                        <w:sz w:val="18"/>
                        <w:szCs w:val="18"/>
                      </w:rPr>
                      <w:t>74</w:t>
                    </w:r>
                  </w:p>
                  <w:p w14:paraId="5BB66D2B" w14:textId="77777777" w:rsidR="006B190E" w:rsidRPr="00BD73B8" w:rsidRDefault="00BD73B8">
                    <w:pPr>
                      <w:spacing w:line="180" w:lineRule="exact"/>
                      <w:rPr>
                        <w:sz w:val="18"/>
                        <w:szCs w:val="18"/>
                      </w:rPr>
                    </w:pPr>
                    <w:r w:rsidRPr="00942931">
                      <w:rPr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Pr="00942931">
                      <w:rPr>
                        <w:sz w:val="18"/>
                        <w:szCs w:val="18"/>
                      </w:rPr>
                      <w:t xml:space="preserve"> Пе</w:t>
                    </w:r>
                    <w:r>
                      <w:rPr>
                        <w:sz w:val="18"/>
                        <w:szCs w:val="18"/>
                      </w:rPr>
                      <w:t>лих 215 44 93</w:t>
                    </w:r>
                  </w:p>
                </w:sdtContent>
              </w:sdt>
            </w:sdtContent>
          </w:sdt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14:paraId="008700DD" w14:textId="77777777" w:rsidR="006C090F" w:rsidRPr="00F202BF" w:rsidRDefault="006C090F" w:rsidP="00B462D1"/>
        </w:tc>
      </w:tr>
    </w:tbl>
    <w:p w14:paraId="5AB1D015" w14:textId="77777777" w:rsidR="00B462D1" w:rsidRDefault="00B462D1" w:rsidP="00E851A2"/>
    <w:sectPr w:rsidR="00B462D1" w:rsidSect="00F911C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45385" w14:textId="77777777" w:rsidR="00236B82" w:rsidRDefault="00236B82" w:rsidP="00A61FE5">
      <w:r>
        <w:separator/>
      </w:r>
    </w:p>
  </w:endnote>
  <w:endnote w:type="continuationSeparator" w:id="0">
    <w:p w14:paraId="4370D3B6" w14:textId="77777777" w:rsidR="00236B82" w:rsidRDefault="00236B82" w:rsidP="00A6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9FA37" w14:textId="77777777" w:rsidR="00236B82" w:rsidRDefault="00236B82" w:rsidP="00A61FE5">
      <w:r>
        <w:separator/>
      </w:r>
    </w:p>
  </w:footnote>
  <w:footnote w:type="continuationSeparator" w:id="0">
    <w:p w14:paraId="1D527AC0" w14:textId="77777777" w:rsidR="00236B82" w:rsidRDefault="00236B82" w:rsidP="00A61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0424"/>
      <w:docPartObj>
        <w:docPartGallery w:val="Page Numbers (Top of Page)"/>
        <w:docPartUnique/>
      </w:docPartObj>
    </w:sdtPr>
    <w:sdtEndPr/>
    <w:sdtContent>
      <w:p w14:paraId="54B9B7C7" w14:textId="66184507" w:rsidR="00F911CB" w:rsidRDefault="00D43064">
        <w:pPr>
          <w:pStyle w:val="a6"/>
          <w:jc w:val="center"/>
        </w:pPr>
        <w:r w:rsidRPr="00F911CB">
          <w:rPr>
            <w:rFonts w:cs="Times New Roman"/>
            <w:sz w:val="28"/>
            <w:szCs w:val="28"/>
          </w:rPr>
          <w:fldChar w:fldCharType="begin"/>
        </w:r>
        <w:r w:rsidR="00F911CB" w:rsidRPr="00F911CB">
          <w:rPr>
            <w:rFonts w:cs="Times New Roman"/>
            <w:sz w:val="28"/>
            <w:szCs w:val="28"/>
          </w:rPr>
          <w:instrText xml:space="preserve"> PAGE   \* MERGEFORMAT </w:instrText>
        </w:r>
        <w:r w:rsidRPr="00F911CB">
          <w:rPr>
            <w:rFonts w:cs="Times New Roman"/>
            <w:sz w:val="28"/>
            <w:szCs w:val="28"/>
          </w:rPr>
          <w:fldChar w:fldCharType="separate"/>
        </w:r>
        <w:r w:rsidR="000A7FAC">
          <w:rPr>
            <w:rFonts w:cs="Times New Roman"/>
            <w:noProof/>
            <w:sz w:val="28"/>
            <w:szCs w:val="28"/>
          </w:rPr>
          <w:t>4</w:t>
        </w:r>
        <w:r w:rsidRPr="00F911CB">
          <w:rPr>
            <w:rFonts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ocumentProtection w:edit="forms" w:enforcement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AB"/>
    <w:rsid w:val="00006D3E"/>
    <w:rsid w:val="0001266C"/>
    <w:rsid w:val="0002036D"/>
    <w:rsid w:val="00075F65"/>
    <w:rsid w:val="00080A4D"/>
    <w:rsid w:val="00082409"/>
    <w:rsid w:val="000846CB"/>
    <w:rsid w:val="000A7FAC"/>
    <w:rsid w:val="000B1091"/>
    <w:rsid w:val="000C1EE4"/>
    <w:rsid w:val="000D3325"/>
    <w:rsid w:val="000D5232"/>
    <w:rsid w:val="000D5917"/>
    <w:rsid w:val="000D729E"/>
    <w:rsid w:val="000E06FD"/>
    <w:rsid w:val="00100B1E"/>
    <w:rsid w:val="00103757"/>
    <w:rsid w:val="0010543F"/>
    <w:rsid w:val="001064AE"/>
    <w:rsid w:val="0011409E"/>
    <w:rsid w:val="00133283"/>
    <w:rsid w:val="0014077E"/>
    <w:rsid w:val="00140F67"/>
    <w:rsid w:val="00145DFD"/>
    <w:rsid w:val="00164D6A"/>
    <w:rsid w:val="001678DB"/>
    <w:rsid w:val="00167F56"/>
    <w:rsid w:val="00176028"/>
    <w:rsid w:val="0018225A"/>
    <w:rsid w:val="00184DA4"/>
    <w:rsid w:val="001A12F2"/>
    <w:rsid w:val="001A3FBB"/>
    <w:rsid w:val="001A727A"/>
    <w:rsid w:val="001B0FCB"/>
    <w:rsid w:val="001B24AC"/>
    <w:rsid w:val="001C709E"/>
    <w:rsid w:val="001D70BB"/>
    <w:rsid w:val="001F0155"/>
    <w:rsid w:val="00220F45"/>
    <w:rsid w:val="00230223"/>
    <w:rsid w:val="00231A1E"/>
    <w:rsid w:val="00236B82"/>
    <w:rsid w:val="00247903"/>
    <w:rsid w:val="00250EF6"/>
    <w:rsid w:val="00250FE4"/>
    <w:rsid w:val="00251445"/>
    <w:rsid w:val="00267411"/>
    <w:rsid w:val="002708B4"/>
    <w:rsid w:val="00281611"/>
    <w:rsid w:val="00295A2F"/>
    <w:rsid w:val="002B7AC3"/>
    <w:rsid w:val="002C5720"/>
    <w:rsid w:val="002D07A0"/>
    <w:rsid w:val="002D23C5"/>
    <w:rsid w:val="002D24A8"/>
    <w:rsid w:val="002E0103"/>
    <w:rsid w:val="002E35CE"/>
    <w:rsid w:val="002E474D"/>
    <w:rsid w:val="002E5B78"/>
    <w:rsid w:val="002F372F"/>
    <w:rsid w:val="002F3ECC"/>
    <w:rsid w:val="00312462"/>
    <w:rsid w:val="003157D2"/>
    <w:rsid w:val="00315B4E"/>
    <w:rsid w:val="0031693D"/>
    <w:rsid w:val="003338CD"/>
    <w:rsid w:val="003465A2"/>
    <w:rsid w:val="0035195E"/>
    <w:rsid w:val="0039274A"/>
    <w:rsid w:val="00395347"/>
    <w:rsid w:val="003C56D4"/>
    <w:rsid w:val="003E7EBE"/>
    <w:rsid w:val="003F4082"/>
    <w:rsid w:val="00411C6B"/>
    <w:rsid w:val="00412957"/>
    <w:rsid w:val="004144D2"/>
    <w:rsid w:val="004231CE"/>
    <w:rsid w:val="004411AD"/>
    <w:rsid w:val="00443D90"/>
    <w:rsid w:val="004519E3"/>
    <w:rsid w:val="004607A2"/>
    <w:rsid w:val="00465225"/>
    <w:rsid w:val="0046700F"/>
    <w:rsid w:val="004703E2"/>
    <w:rsid w:val="004822D0"/>
    <w:rsid w:val="004875ED"/>
    <w:rsid w:val="004927FB"/>
    <w:rsid w:val="00497151"/>
    <w:rsid w:val="004A4365"/>
    <w:rsid w:val="004B6006"/>
    <w:rsid w:val="004C204A"/>
    <w:rsid w:val="004F296C"/>
    <w:rsid w:val="004F69E7"/>
    <w:rsid w:val="00505077"/>
    <w:rsid w:val="00525AD2"/>
    <w:rsid w:val="00537F49"/>
    <w:rsid w:val="00542CDC"/>
    <w:rsid w:val="00544AAC"/>
    <w:rsid w:val="00545DEA"/>
    <w:rsid w:val="00585462"/>
    <w:rsid w:val="00595694"/>
    <w:rsid w:val="005B38BC"/>
    <w:rsid w:val="005B4039"/>
    <w:rsid w:val="005C0445"/>
    <w:rsid w:val="005C0968"/>
    <w:rsid w:val="005C21B3"/>
    <w:rsid w:val="005C3E20"/>
    <w:rsid w:val="005C6AB2"/>
    <w:rsid w:val="005E6D0F"/>
    <w:rsid w:val="005F3C63"/>
    <w:rsid w:val="006025D1"/>
    <w:rsid w:val="006126B7"/>
    <w:rsid w:val="006276A0"/>
    <w:rsid w:val="00633583"/>
    <w:rsid w:val="00665CD3"/>
    <w:rsid w:val="00667261"/>
    <w:rsid w:val="0067519B"/>
    <w:rsid w:val="00680639"/>
    <w:rsid w:val="0069517F"/>
    <w:rsid w:val="006A1BB3"/>
    <w:rsid w:val="006A2729"/>
    <w:rsid w:val="006A39F9"/>
    <w:rsid w:val="006A5A0F"/>
    <w:rsid w:val="006B190E"/>
    <w:rsid w:val="006B3E4A"/>
    <w:rsid w:val="006B5D31"/>
    <w:rsid w:val="006C090F"/>
    <w:rsid w:val="006C3C1C"/>
    <w:rsid w:val="006E38ED"/>
    <w:rsid w:val="006E3C15"/>
    <w:rsid w:val="006F660C"/>
    <w:rsid w:val="007007D7"/>
    <w:rsid w:val="00700996"/>
    <w:rsid w:val="00700DC5"/>
    <w:rsid w:val="007048DE"/>
    <w:rsid w:val="007115CD"/>
    <w:rsid w:val="00711EB2"/>
    <w:rsid w:val="00727EB2"/>
    <w:rsid w:val="00733F53"/>
    <w:rsid w:val="00734AAA"/>
    <w:rsid w:val="0074377C"/>
    <w:rsid w:val="00760722"/>
    <w:rsid w:val="00772A02"/>
    <w:rsid w:val="00773983"/>
    <w:rsid w:val="00780EB5"/>
    <w:rsid w:val="0078768B"/>
    <w:rsid w:val="007A789B"/>
    <w:rsid w:val="007F0CE9"/>
    <w:rsid w:val="00805E88"/>
    <w:rsid w:val="0081689E"/>
    <w:rsid w:val="00826FF5"/>
    <w:rsid w:val="00831170"/>
    <w:rsid w:val="008337A8"/>
    <w:rsid w:val="00847F7A"/>
    <w:rsid w:val="008741AE"/>
    <w:rsid w:val="00892354"/>
    <w:rsid w:val="00893235"/>
    <w:rsid w:val="008B2E70"/>
    <w:rsid w:val="008C313F"/>
    <w:rsid w:val="008C7AAB"/>
    <w:rsid w:val="00904F32"/>
    <w:rsid w:val="00916FAD"/>
    <w:rsid w:val="00922141"/>
    <w:rsid w:val="00923193"/>
    <w:rsid w:val="00925C0F"/>
    <w:rsid w:val="009378BB"/>
    <w:rsid w:val="00982CAA"/>
    <w:rsid w:val="00984D39"/>
    <w:rsid w:val="009B2686"/>
    <w:rsid w:val="009B56D6"/>
    <w:rsid w:val="009C0DD3"/>
    <w:rsid w:val="009C43B2"/>
    <w:rsid w:val="009C6906"/>
    <w:rsid w:val="009C7966"/>
    <w:rsid w:val="009D41FB"/>
    <w:rsid w:val="009D5737"/>
    <w:rsid w:val="009F25C7"/>
    <w:rsid w:val="009F5D78"/>
    <w:rsid w:val="00A072DB"/>
    <w:rsid w:val="00A121F2"/>
    <w:rsid w:val="00A25E50"/>
    <w:rsid w:val="00A3174D"/>
    <w:rsid w:val="00A32443"/>
    <w:rsid w:val="00A540FD"/>
    <w:rsid w:val="00A61FE5"/>
    <w:rsid w:val="00A63023"/>
    <w:rsid w:val="00A96F67"/>
    <w:rsid w:val="00AA588D"/>
    <w:rsid w:val="00AB1174"/>
    <w:rsid w:val="00AC39E5"/>
    <w:rsid w:val="00AC57BC"/>
    <w:rsid w:val="00AC5ADF"/>
    <w:rsid w:val="00AC5E5B"/>
    <w:rsid w:val="00AC6EFF"/>
    <w:rsid w:val="00AD5F9C"/>
    <w:rsid w:val="00AE21E0"/>
    <w:rsid w:val="00AE41AA"/>
    <w:rsid w:val="00AE5B8A"/>
    <w:rsid w:val="00AE6DE7"/>
    <w:rsid w:val="00AF1E80"/>
    <w:rsid w:val="00B015D6"/>
    <w:rsid w:val="00B05DE7"/>
    <w:rsid w:val="00B13320"/>
    <w:rsid w:val="00B17161"/>
    <w:rsid w:val="00B20B92"/>
    <w:rsid w:val="00B22E15"/>
    <w:rsid w:val="00B23A12"/>
    <w:rsid w:val="00B27383"/>
    <w:rsid w:val="00B317AB"/>
    <w:rsid w:val="00B323E1"/>
    <w:rsid w:val="00B462D1"/>
    <w:rsid w:val="00B60A59"/>
    <w:rsid w:val="00B6461D"/>
    <w:rsid w:val="00B67734"/>
    <w:rsid w:val="00B85F0F"/>
    <w:rsid w:val="00BB4E51"/>
    <w:rsid w:val="00BC2690"/>
    <w:rsid w:val="00BC64E2"/>
    <w:rsid w:val="00BD2CF7"/>
    <w:rsid w:val="00BD73B8"/>
    <w:rsid w:val="00BE4551"/>
    <w:rsid w:val="00BF0D92"/>
    <w:rsid w:val="00C14D61"/>
    <w:rsid w:val="00C24522"/>
    <w:rsid w:val="00C25630"/>
    <w:rsid w:val="00C26090"/>
    <w:rsid w:val="00C43935"/>
    <w:rsid w:val="00C6073A"/>
    <w:rsid w:val="00C82609"/>
    <w:rsid w:val="00CB7877"/>
    <w:rsid w:val="00CC44DF"/>
    <w:rsid w:val="00CD022E"/>
    <w:rsid w:val="00CD5D04"/>
    <w:rsid w:val="00D073F8"/>
    <w:rsid w:val="00D12247"/>
    <w:rsid w:val="00D12D81"/>
    <w:rsid w:val="00D21EDB"/>
    <w:rsid w:val="00D43064"/>
    <w:rsid w:val="00D56D9F"/>
    <w:rsid w:val="00D93DCD"/>
    <w:rsid w:val="00DA0C33"/>
    <w:rsid w:val="00DA4521"/>
    <w:rsid w:val="00DA6E09"/>
    <w:rsid w:val="00DC1466"/>
    <w:rsid w:val="00E22C52"/>
    <w:rsid w:val="00E23490"/>
    <w:rsid w:val="00E25F75"/>
    <w:rsid w:val="00E301BB"/>
    <w:rsid w:val="00E3081B"/>
    <w:rsid w:val="00E3143A"/>
    <w:rsid w:val="00E3415B"/>
    <w:rsid w:val="00E36C53"/>
    <w:rsid w:val="00E45592"/>
    <w:rsid w:val="00E50926"/>
    <w:rsid w:val="00E54E09"/>
    <w:rsid w:val="00E6247E"/>
    <w:rsid w:val="00E65EE2"/>
    <w:rsid w:val="00E80C8B"/>
    <w:rsid w:val="00E851A2"/>
    <w:rsid w:val="00E85ABD"/>
    <w:rsid w:val="00EA5CFA"/>
    <w:rsid w:val="00EC38EC"/>
    <w:rsid w:val="00EE594C"/>
    <w:rsid w:val="00EE7399"/>
    <w:rsid w:val="00F202BF"/>
    <w:rsid w:val="00F30BC2"/>
    <w:rsid w:val="00F36275"/>
    <w:rsid w:val="00F443E4"/>
    <w:rsid w:val="00F469B7"/>
    <w:rsid w:val="00F71041"/>
    <w:rsid w:val="00F76859"/>
    <w:rsid w:val="00F77EF2"/>
    <w:rsid w:val="00F84BF3"/>
    <w:rsid w:val="00F855A4"/>
    <w:rsid w:val="00F911CB"/>
    <w:rsid w:val="00F91CD9"/>
    <w:rsid w:val="00FA3A5E"/>
    <w:rsid w:val="00FA6C26"/>
    <w:rsid w:val="00FB0719"/>
    <w:rsid w:val="00FB5AFC"/>
    <w:rsid w:val="00FC143D"/>
    <w:rsid w:val="00FD14E9"/>
    <w:rsid w:val="00FE0E84"/>
    <w:rsid w:val="00FF1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4D5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Стиль4"/>
    <w:basedOn w:val="a0"/>
    <w:uiPriority w:val="1"/>
    <w:rsid w:val="00984D39"/>
    <w:rPr>
      <w:rFonts w:ascii="Times New Roman" w:hAnsi="Times New Roman"/>
      <w:sz w:val="30"/>
    </w:rPr>
  </w:style>
  <w:style w:type="character" w:customStyle="1" w:styleId="5">
    <w:name w:val="Стиль5"/>
    <w:basedOn w:val="a0"/>
    <w:uiPriority w:val="1"/>
    <w:rsid w:val="00984D39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6">
    <w:name w:val="Стиль6"/>
    <w:link w:val="60"/>
    <w:qFormat/>
    <w:rsid w:val="00984D39"/>
    <w:pPr>
      <w:ind w:right="33"/>
    </w:pPr>
  </w:style>
  <w:style w:type="paragraph" w:styleId="2">
    <w:name w:val="Body Text 2"/>
    <w:next w:val="6"/>
    <w:link w:val="20"/>
    <w:uiPriority w:val="99"/>
    <w:semiHidden/>
    <w:unhideWhenUsed/>
    <w:rsid w:val="00984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84D39"/>
    <w:rPr>
      <w:rFonts w:eastAsiaTheme="minorHAnsi"/>
    </w:rPr>
  </w:style>
  <w:style w:type="character" w:customStyle="1" w:styleId="60">
    <w:name w:val="Стиль6 Знак"/>
    <w:basedOn w:val="20"/>
    <w:link w:val="6"/>
    <w:rsid w:val="00984D39"/>
    <w:rPr>
      <w:rFonts w:eastAsiaTheme="minorHAnsi"/>
    </w:rPr>
  </w:style>
  <w:style w:type="paragraph" w:styleId="a3">
    <w:name w:val="Balloon Text"/>
    <w:basedOn w:val="a"/>
    <w:link w:val="a4"/>
    <w:uiPriority w:val="99"/>
    <w:semiHidden/>
    <w:unhideWhenUsed/>
    <w:rsid w:val="00B317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7A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11C6B"/>
    <w:rPr>
      <w:rFonts w:cs="Times New Roman"/>
      <w:color w:val="808080"/>
    </w:rPr>
  </w:style>
  <w:style w:type="paragraph" w:styleId="a6">
    <w:name w:val="header"/>
    <w:basedOn w:val="a"/>
    <w:link w:val="a7"/>
    <w:uiPriority w:val="99"/>
    <w:unhideWhenUsed/>
    <w:rsid w:val="00A61F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1FE5"/>
  </w:style>
  <w:style w:type="paragraph" w:styleId="a8">
    <w:name w:val="footer"/>
    <w:basedOn w:val="a"/>
    <w:link w:val="a9"/>
    <w:uiPriority w:val="99"/>
    <w:semiHidden/>
    <w:unhideWhenUsed/>
    <w:rsid w:val="00A61F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61FE5"/>
  </w:style>
  <w:style w:type="paragraph" w:customStyle="1" w:styleId="11">
    <w:name w:val="11"/>
    <w:basedOn w:val="a"/>
    <w:link w:val="110"/>
    <w:qFormat/>
    <w:rsid w:val="000E06FD"/>
    <w:pPr>
      <w:framePr w:hSpace="180" w:wrap="around" w:hAnchor="margin" w:y="-1079"/>
      <w:spacing w:line="240" w:lineRule="exact"/>
      <w:jc w:val="center"/>
    </w:pPr>
    <w:rPr>
      <w:rFonts w:eastAsia="Times New Roman" w:cs="Times New Roman"/>
      <w:spacing w:val="-4"/>
      <w:szCs w:val="24"/>
      <w:lang w:val="en-US" w:eastAsia="ru-RU"/>
    </w:rPr>
  </w:style>
  <w:style w:type="character" w:customStyle="1" w:styleId="110">
    <w:name w:val="11 Знак"/>
    <w:basedOn w:val="a0"/>
    <w:link w:val="11"/>
    <w:rsid w:val="000E06FD"/>
    <w:rPr>
      <w:rFonts w:ascii="Times New Roman" w:eastAsia="Times New Roman" w:hAnsi="Times New Roman" w:cs="Times New Roman"/>
      <w:spacing w:val="-4"/>
      <w:szCs w:val="24"/>
      <w:lang w:val="en-US" w:eastAsia="ru-RU"/>
    </w:rPr>
  </w:style>
  <w:style w:type="paragraph" w:styleId="aa">
    <w:name w:val="Body Text"/>
    <w:basedOn w:val="a"/>
    <w:link w:val="ab"/>
    <w:uiPriority w:val="99"/>
    <w:semiHidden/>
    <w:unhideWhenUsed/>
    <w:rsid w:val="004875ED"/>
    <w:pPr>
      <w:tabs>
        <w:tab w:val="left" w:pos="709"/>
      </w:tabs>
      <w:spacing w:after="120"/>
      <w:jc w:val="both"/>
    </w:pPr>
    <w:rPr>
      <w:rFonts w:eastAsia="Times New Roman" w:cs="Times New Roman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4875ED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c">
    <w:name w:val="Hyperlink"/>
    <w:basedOn w:val="a0"/>
    <w:uiPriority w:val="99"/>
    <w:unhideWhenUsed/>
    <w:rsid w:val="0031693D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5C2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2F3EC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F3EC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F3EC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F3EC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F3E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ail@nbrb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9C4A22B23240BD9D26361A0F7FDA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CC401D-70C5-468E-977F-CB8D6635F006}"/>
      </w:docPartPr>
      <w:docPartBody>
        <w:p w:rsidR="00554009" w:rsidRDefault="00891B05" w:rsidP="00891B05">
          <w:pPr>
            <w:pStyle w:val="059C4A22B23240BD9D26361A0F7FDA9E9"/>
            <w:framePr w:wrap="around"/>
          </w:pPr>
          <w:r>
            <w:rPr>
              <w:rFonts w:eastAsia="Calibri"/>
              <w:szCs w:val="30"/>
              <w:lang w:val="ru-RU"/>
            </w:rPr>
            <w:t xml:space="preserve"> </w:t>
          </w:r>
        </w:p>
      </w:docPartBody>
    </w:docPart>
    <w:docPart>
      <w:docPartPr>
        <w:name w:val="6288EA57E8BB4011B52E5B6B5D91ED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BDC1AA-FEAB-4EEF-A927-DEBACA2477B9}"/>
      </w:docPartPr>
      <w:docPartBody>
        <w:p w:rsidR="00554009" w:rsidRDefault="00801E2F" w:rsidP="00801E2F">
          <w:pPr>
            <w:pStyle w:val="6288EA57E8BB4011B52E5B6B5D91EDCB"/>
          </w:pPr>
          <w:r w:rsidRPr="005028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A03636B9FF49119B12854FC2BB01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513B22-82E0-47EE-8146-4CC68E258049}"/>
      </w:docPartPr>
      <w:docPartBody>
        <w:p w:rsidR="00A162F1" w:rsidRDefault="00554480" w:rsidP="00554480">
          <w:pPr>
            <w:pStyle w:val="A6A03636B9FF49119B12854FC2BB01B4"/>
          </w:pPr>
          <w:r w:rsidRPr="000451D6">
            <w:rPr>
              <w:color w:val="808080" w:themeColor="background1" w:themeShade="80"/>
              <w:sz w:val="30"/>
              <w:szCs w:val="30"/>
            </w:rPr>
            <w:t>Таблица подписей «Подписано»</w:t>
          </w:r>
        </w:p>
      </w:docPartBody>
    </w:docPart>
    <w:docPart>
      <w:docPartPr>
        <w:name w:val="BC25931F0F434C509635A397B08EB0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1645D3-7EF1-4870-9960-CA0C5F3F35C0}"/>
      </w:docPartPr>
      <w:docPartBody>
        <w:p w:rsidR="00A6654A" w:rsidRDefault="00891B05" w:rsidP="00A6654A">
          <w:pPr>
            <w:pStyle w:val="BC25931F0F434C509635A397B08EB0331"/>
          </w:pPr>
          <w:r w:rsidRPr="000846CB">
            <w:t xml:space="preserve"> </w:t>
          </w:r>
        </w:p>
      </w:docPartBody>
    </w:docPart>
    <w:docPart>
      <w:docPartPr>
        <w:name w:val="5AE3E905323C4DCF99E5124EEABFF5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76491E-C8CC-44B3-9802-72043C31B519}"/>
      </w:docPartPr>
      <w:docPartBody>
        <w:p w:rsidR="00595CA1" w:rsidRDefault="004D7CE3" w:rsidP="004D7CE3">
          <w:pPr>
            <w:pStyle w:val="5AE3E905323C4DCF99E5124EEABFF570"/>
          </w:pPr>
          <w:r w:rsidRPr="005028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FB7D73C36345CA87750A2838A7ED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CEA103-CB50-4CB6-8352-C489783D7811}"/>
      </w:docPartPr>
      <w:docPartBody>
        <w:p w:rsidR="00595CA1" w:rsidRDefault="004D7CE3" w:rsidP="004D7CE3">
          <w:pPr>
            <w:pStyle w:val="97FB7D73C36345CA87750A2838A7ED76"/>
          </w:pPr>
          <w:r w:rsidRPr="005028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45FE0A3B8E4A778E654520AD6C95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2AF680-1061-482F-A471-F396C56BEA12}"/>
      </w:docPartPr>
      <w:docPartBody>
        <w:p w:rsidR="00595CA1" w:rsidRDefault="004D7CE3" w:rsidP="004D7CE3">
          <w:pPr>
            <w:pStyle w:val="1E45FE0A3B8E4A778E654520AD6C9522"/>
          </w:pPr>
          <w:r w:rsidRPr="005028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B03B69411A4A9790E11367CB975D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0B16E0-3349-4EF8-8C45-60E2B5810989}"/>
      </w:docPartPr>
      <w:docPartBody>
        <w:p w:rsidR="00B71994" w:rsidRDefault="00E96849" w:rsidP="00E96849">
          <w:pPr>
            <w:pStyle w:val="30B03B69411A4A9790E11367CB975D2D"/>
          </w:pPr>
          <w:r w:rsidRPr="005028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1E005D-F028-4891-816A-C5F03652AD8C}"/>
      </w:docPartPr>
      <w:docPartBody>
        <w:p w:rsidR="009E6239" w:rsidRDefault="00B71994">
          <w:r w:rsidRPr="00F17D7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1E2F"/>
    <w:rsid w:val="00010EAF"/>
    <w:rsid w:val="000174F4"/>
    <w:rsid w:val="000319D0"/>
    <w:rsid w:val="00097161"/>
    <w:rsid w:val="000E5FFF"/>
    <w:rsid w:val="00103269"/>
    <w:rsid w:val="00120110"/>
    <w:rsid w:val="00140B62"/>
    <w:rsid w:val="001F42B6"/>
    <w:rsid w:val="002127BA"/>
    <w:rsid w:val="00232CE0"/>
    <w:rsid w:val="00264643"/>
    <w:rsid w:val="002826DE"/>
    <w:rsid w:val="002F5AF5"/>
    <w:rsid w:val="00336EAA"/>
    <w:rsid w:val="00343346"/>
    <w:rsid w:val="00355330"/>
    <w:rsid w:val="003638CB"/>
    <w:rsid w:val="00367EA5"/>
    <w:rsid w:val="00377BF7"/>
    <w:rsid w:val="00381612"/>
    <w:rsid w:val="003B5C13"/>
    <w:rsid w:val="004125CE"/>
    <w:rsid w:val="00427A4E"/>
    <w:rsid w:val="00441E26"/>
    <w:rsid w:val="00473A1F"/>
    <w:rsid w:val="00486351"/>
    <w:rsid w:val="00496469"/>
    <w:rsid w:val="004D3EEC"/>
    <w:rsid w:val="004D7CE3"/>
    <w:rsid w:val="00554009"/>
    <w:rsid w:val="00554480"/>
    <w:rsid w:val="00555D61"/>
    <w:rsid w:val="0056708C"/>
    <w:rsid w:val="00575037"/>
    <w:rsid w:val="00591A31"/>
    <w:rsid w:val="0059275E"/>
    <w:rsid w:val="00595CA1"/>
    <w:rsid w:val="005C6A6C"/>
    <w:rsid w:val="005E0E7F"/>
    <w:rsid w:val="00612DCF"/>
    <w:rsid w:val="006708B1"/>
    <w:rsid w:val="00693A57"/>
    <w:rsid w:val="006F4983"/>
    <w:rsid w:val="00701677"/>
    <w:rsid w:val="0071061F"/>
    <w:rsid w:val="00761C30"/>
    <w:rsid w:val="00801E2F"/>
    <w:rsid w:val="00826F6B"/>
    <w:rsid w:val="00891B05"/>
    <w:rsid w:val="008A6172"/>
    <w:rsid w:val="008E0A45"/>
    <w:rsid w:val="0090013C"/>
    <w:rsid w:val="00905551"/>
    <w:rsid w:val="00966BD4"/>
    <w:rsid w:val="009733F4"/>
    <w:rsid w:val="009E6239"/>
    <w:rsid w:val="009F5482"/>
    <w:rsid w:val="00A162F1"/>
    <w:rsid w:val="00A362F0"/>
    <w:rsid w:val="00A65E1C"/>
    <w:rsid w:val="00A6654A"/>
    <w:rsid w:val="00A97121"/>
    <w:rsid w:val="00AD2615"/>
    <w:rsid w:val="00AD4AED"/>
    <w:rsid w:val="00AF41F5"/>
    <w:rsid w:val="00B5586E"/>
    <w:rsid w:val="00B71994"/>
    <w:rsid w:val="00BE32BA"/>
    <w:rsid w:val="00BF3B77"/>
    <w:rsid w:val="00BF556E"/>
    <w:rsid w:val="00C9232C"/>
    <w:rsid w:val="00CC78EA"/>
    <w:rsid w:val="00CD6D42"/>
    <w:rsid w:val="00D04418"/>
    <w:rsid w:val="00DC0B93"/>
    <w:rsid w:val="00E45FB9"/>
    <w:rsid w:val="00E50A68"/>
    <w:rsid w:val="00E627A3"/>
    <w:rsid w:val="00E848D4"/>
    <w:rsid w:val="00E96849"/>
    <w:rsid w:val="00E979C0"/>
    <w:rsid w:val="00EB2384"/>
    <w:rsid w:val="00EC2D6E"/>
    <w:rsid w:val="00EC5019"/>
    <w:rsid w:val="00ED0474"/>
    <w:rsid w:val="00F17B87"/>
    <w:rsid w:val="00F7013A"/>
    <w:rsid w:val="00FC7775"/>
    <w:rsid w:val="00FD7F46"/>
    <w:rsid w:val="00FF5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48D4"/>
    <w:rPr>
      <w:rFonts w:cs="Times New Roman"/>
      <w:color w:val="808080"/>
    </w:rPr>
  </w:style>
  <w:style w:type="paragraph" w:customStyle="1" w:styleId="6288EA57E8BB4011B52E5B6B5D91EDCB">
    <w:name w:val="6288EA57E8BB4011B52E5B6B5D91EDCB"/>
    <w:rsid w:val="00801E2F"/>
  </w:style>
  <w:style w:type="paragraph" w:customStyle="1" w:styleId="A6A03636B9FF49119B12854FC2BB01B4">
    <w:name w:val="A6A03636B9FF49119B12854FC2BB01B4"/>
    <w:rsid w:val="00554480"/>
  </w:style>
  <w:style w:type="paragraph" w:customStyle="1" w:styleId="BC25931F0F434C509635A397B08EB0331">
    <w:name w:val="BC25931F0F434C509635A397B08EB0331"/>
    <w:rsid w:val="00A6654A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5AE3E905323C4DCF99E5124EEABFF570">
    <w:name w:val="5AE3E905323C4DCF99E5124EEABFF570"/>
    <w:rsid w:val="004D7CE3"/>
  </w:style>
  <w:style w:type="paragraph" w:customStyle="1" w:styleId="97FB7D73C36345CA87750A2838A7ED76">
    <w:name w:val="97FB7D73C36345CA87750A2838A7ED76"/>
    <w:rsid w:val="004D7CE3"/>
  </w:style>
  <w:style w:type="paragraph" w:customStyle="1" w:styleId="1E45FE0A3B8E4A778E654520AD6C9522">
    <w:name w:val="1E45FE0A3B8E4A778E654520AD6C9522"/>
    <w:rsid w:val="004D7CE3"/>
  </w:style>
  <w:style w:type="paragraph" w:customStyle="1" w:styleId="30B03B69411A4A9790E11367CB975D2D">
    <w:name w:val="30B03B69411A4A9790E11367CB975D2D"/>
    <w:rsid w:val="00E96849"/>
  </w:style>
  <w:style w:type="paragraph" w:customStyle="1" w:styleId="059C4A22B23240BD9D26361A0F7FDA9E9">
    <w:name w:val="059C4A22B23240BD9D26361A0F7FDA9E9"/>
    <w:rsid w:val="00891B05"/>
    <w:pPr>
      <w:framePr w:hSpace="180" w:wrap="around" w:hAnchor="margin" w:y="-1079"/>
      <w:spacing w:after="0" w:line="240" w:lineRule="exact"/>
      <w:jc w:val="center"/>
    </w:pPr>
    <w:rPr>
      <w:rFonts w:ascii="Times New Roman" w:eastAsia="Times New Roman" w:hAnsi="Times New Roman" w:cs="Times New Roman"/>
      <w:spacing w:val="-4"/>
      <w:sz w:val="30"/>
      <w:szCs w:val="24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tyleName="APA Fifth Edition" SelectedStyle="\APA.XSL"/>
</file>

<file path=customXml/itemProps1.xml><?xml version="1.0" encoding="utf-8"?>
<ds:datastoreItem xmlns:ds="http://schemas.openxmlformats.org/officeDocument/2006/customXml" ds:itemID="{22F2CD0F-522C-4D18-B9B8-78418E904FCB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2025-10-07T16:34:00Z</dcterms:created>
  <dcterms:modified xsi:type="dcterms:W3CDTF">2025-10-07T16:34:00Z</dcterms:modified>
</cp:coreProperties>
</file>